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60537" w14:textId="2B706942" w:rsidR="00E84A31" w:rsidRPr="00FA5A45" w:rsidRDefault="00FA5A45" w:rsidP="00FA5A45">
      <w:pPr>
        <w:pStyle w:val="Heading1"/>
      </w:pPr>
      <w:r>
        <w:t>Purpose</w:t>
      </w:r>
    </w:p>
    <w:p w14:paraId="5B38232C" w14:textId="2FA3A9E0" w:rsidR="00F619BA" w:rsidRPr="00EB1083" w:rsidRDefault="0080197D" w:rsidP="00FA5A45">
      <w:pPr>
        <w:rPr>
          <w:rFonts w:eastAsia="Omnes" w:cs="Omnes"/>
        </w:rPr>
      </w:pPr>
      <w:r w:rsidRPr="00F21255">
        <w:t>OhioKAN’s Performance Management Framework is designed for on</w:t>
      </w:r>
      <w:r w:rsidR="003B4D17">
        <w:t>going management</w:t>
      </w:r>
      <w:r w:rsidR="0009351D" w:rsidRPr="00F21255">
        <w:t xml:space="preserve"> of P</w:t>
      </w:r>
      <w:r w:rsidRPr="00F21255">
        <w:t xml:space="preserve">artnering </w:t>
      </w:r>
      <w:r w:rsidR="0009351D" w:rsidRPr="00F21255">
        <w:t>S</w:t>
      </w:r>
      <w:r w:rsidRPr="00F21255">
        <w:t xml:space="preserve">ite’s </w:t>
      </w:r>
      <w:r w:rsidR="0009351D" w:rsidRPr="00F21255">
        <w:t xml:space="preserve">performance, practice, and implementation of the OhioKAN model. </w:t>
      </w:r>
      <w:r w:rsidR="00D00941">
        <w:rPr>
          <w:rFonts w:eastAsia="Omnes" w:cs="Omnes"/>
        </w:rPr>
        <w:t>M</w:t>
      </w:r>
      <w:r w:rsidR="0009351D" w:rsidRPr="00F21255">
        <w:rPr>
          <w:rFonts w:eastAsia="Omnes" w:cs="Omnes"/>
        </w:rPr>
        <w:t>onthly aggregated data reports informed by programmatic</w:t>
      </w:r>
      <w:r w:rsidR="00C86812" w:rsidRPr="00F21255">
        <w:rPr>
          <w:rFonts w:eastAsia="Omnes" w:cs="Omnes"/>
        </w:rPr>
        <w:t xml:space="preserve"> records and </w:t>
      </w:r>
      <w:r w:rsidR="0009351D" w:rsidRPr="00F21255">
        <w:rPr>
          <w:rFonts w:eastAsia="Omnes" w:cs="Omnes"/>
        </w:rPr>
        <w:t>the measurement framework are regularly reviewed by regional directors</w:t>
      </w:r>
      <w:r w:rsidR="00414888">
        <w:rPr>
          <w:rFonts w:eastAsia="Omnes" w:cs="Omnes"/>
        </w:rPr>
        <w:t>, coaches,</w:t>
      </w:r>
      <w:r w:rsidR="0009351D" w:rsidRPr="00F21255">
        <w:rPr>
          <w:rFonts w:eastAsia="Omnes" w:cs="Omnes"/>
        </w:rPr>
        <w:t xml:space="preserve"> and </w:t>
      </w:r>
      <w:r w:rsidR="00C86812" w:rsidRPr="00F21255">
        <w:rPr>
          <w:rFonts w:eastAsia="Omnes" w:cs="Omnes"/>
        </w:rPr>
        <w:t xml:space="preserve">partnering site supervisors and </w:t>
      </w:r>
      <w:r w:rsidR="0009351D" w:rsidRPr="00F21255">
        <w:rPr>
          <w:rFonts w:eastAsia="Omnes" w:cs="Omnes"/>
        </w:rPr>
        <w:t>further discussed</w:t>
      </w:r>
      <w:r w:rsidR="00414888">
        <w:rPr>
          <w:rFonts w:eastAsia="Omnes" w:cs="Omnes"/>
        </w:rPr>
        <w:t xml:space="preserve"> during regularly scheduled</w:t>
      </w:r>
      <w:r w:rsidR="00C86812" w:rsidRPr="00F21255">
        <w:rPr>
          <w:rFonts w:eastAsia="Omnes" w:cs="Omnes"/>
        </w:rPr>
        <w:t xml:space="preserve"> </w:t>
      </w:r>
      <w:r w:rsidR="00F21255">
        <w:rPr>
          <w:rFonts w:eastAsia="Omnes" w:cs="Omnes"/>
        </w:rPr>
        <w:t xml:space="preserve">site </w:t>
      </w:r>
      <w:r w:rsidR="00C86812" w:rsidRPr="00F21255">
        <w:rPr>
          <w:rFonts w:eastAsia="Omnes" w:cs="Omnes"/>
        </w:rPr>
        <w:t>partnership</w:t>
      </w:r>
      <w:r w:rsidR="0009351D" w:rsidRPr="00F21255">
        <w:rPr>
          <w:rFonts w:eastAsia="Omnes" w:cs="Omnes"/>
        </w:rPr>
        <w:t xml:space="preserve"> meetings. By promoting consistent implementation of the OhioKAN model across the state, OhioKAN</w:t>
      </w:r>
      <w:r w:rsidR="00C86812" w:rsidRPr="00F21255">
        <w:rPr>
          <w:rFonts w:eastAsia="Omnes" w:cs="Omnes"/>
        </w:rPr>
        <w:t>’s performance management framework</w:t>
      </w:r>
      <w:r w:rsidR="0009351D" w:rsidRPr="00F21255">
        <w:rPr>
          <w:rFonts w:eastAsia="Omnes" w:cs="Omnes"/>
        </w:rPr>
        <w:t xml:space="preserve"> </w:t>
      </w:r>
      <w:r w:rsidR="00C86812" w:rsidRPr="00F21255">
        <w:rPr>
          <w:rFonts w:eastAsia="Omnes" w:cs="Omnes"/>
        </w:rPr>
        <w:t>not only monitors program</w:t>
      </w:r>
      <w:r w:rsidR="0009351D" w:rsidRPr="00F21255">
        <w:rPr>
          <w:rFonts w:eastAsia="Omnes" w:cs="Omnes"/>
        </w:rPr>
        <w:t xml:space="preserve"> fidelity, but also program quality for OhioKAN families</w:t>
      </w:r>
      <w:r w:rsidR="000068ED">
        <w:rPr>
          <w:rFonts w:eastAsia="Omnes" w:cs="Omnes"/>
        </w:rPr>
        <w:t>,</w:t>
      </w:r>
      <w:r w:rsidR="00767FF0">
        <w:rPr>
          <w:rFonts w:eastAsia="Omnes" w:cs="Omnes"/>
        </w:rPr>
        <w:t xml:space="preserve"> and site partnership continuance</w:t>
      </w:r>
      <w:r w:rsidR="0009351D" w:rsidRPr="00F21255">
        <w:rPr>
          <w:rFonts w:eastAsia="Omnes" w:cs="Omnes"/>
        </w:rPr>
        <w:t xml:space="preserve">. </w:t>
      </w:r>
    </w:p>
    <w:p w14:paraId="2F2B42A5" w14:textId="1847EFA9" w:rsidR="00F619BA" w:rsidRDefault="00F619BA" w:rsidP="00F619BA">
      <w:pPr>
        <w:pStyle w:val="Heading1"/>
        <w:rPr>
          <w:rFonts w:eastAsia="Omnes"/>
        </w:rPr>
      </w:pPr>
      <w:r>
        <w:rPr>
          <w:rFonts w:eastAsia="Omnes"/>
        </w:rPr>
        <w:t>Organizing Principals</w:t>
      </w:r>
    </w:p>
    <w:p w14:paraId="1D38D6CE" w14:textId="77777777" w:rsidR="00F619BA" w:rsidRDefault="00F619BA" w:rsidP="00F619BA">
      <w:pPr>
        <w:rPr>
          <w:rFonts w:eastAsia="Omnes" w:cs="Omnes"/>
          <w:sz w:val="22"/>
          <w:szCs w:val="22"/>
        </w:rPr>
      </w:pPr>
      <w:r w:rsidRPr="0903423F">
        <w:rPr>
          <w:rFonts w:eastAsia="Omnes" w:cs="Omnes"/>
          <w:sz w:val="22"/>
          <w:szCs w:val="22"/>
        </w:rPr>
        <w:t xml:space="preserve">The Performance Management Framework complements OhioKAN CQI through its organizing principles: </w:t>
      </w:r>
    </w:p>
    <w:p w14:paraId="289568BD" w14:textId="77777777" w:rsidR="00F619BA" w:rsidRDefault="00F619BA" w:rsidP="00F619BA">
      <w:pPr>
        <w:rPr>
          <w:rFonts w:eastAsia="Omnes" w:cs="Omnes"/>
          <w:sz w:val="22"/>
          <w:szCs w:val="22"/>
        </w:rPr>
      </w:pPr>
    </w:p>
    <w:p w14:paraId="06DFF494" w14:textId="77777777" w:rsidR="00F619BA" w:rsidRDefault="00F619BA" w:rsidP="00F619BA">
      <w:pPr>
        <w:pStyle w:val="ListParagraph"/>
        <w:numPr>
          <w:ilvl w:val="0"/>
          <w:numId w:val="9"/>
        </w:numPr>
        <w:rPr>
          <w:sz w:val="22"/>
          <w:szCs w:val="22"/>
        </w:rPr>
      </w:pPr>
      <w:r w:rsidRPr="230A51B4">
        <w:rPr>
          <w:rFonts w:eastAsia="Omnes" w:cs="Omnes"/>
          <w:sz w:val="22"/>
          <w:szCs w:val="22"/>
        </w:rPr>
        <w:t xml:space="preserve">Promote information-based decision-making </w:t>
      </w:r>
    </w:p>
    <w:p w14:paraId="58B6840B" w14:textId="77777777" w:rsidR="00F619BA" w:rsidRDefault="00F619BA" w:rsidP="00F619BA">
      <w:pPr>
        <w:pStyle w:val="ListParagraph"/>
        <w:numPr>
          <w:ilvl w:val="0"/>
          <w:numId w:val="9"/>
        </w:numPr>
        <w:rPr>
          <w:sz w:val="22"/>
          <w:szCs w:val="22"/>
        </w:rPr>
      </w:pPr>
      <w:r w:rsidRPr="230A51B4">
        <w:rPr>
          <w:rFonts w:eastAsia="Omnes" w:cs="Omnes"/>
          <w:sz w:val="22"/>
          <w:szCs w:val="22"/>
        </w:rPr>
        <w:t xml:space="preserve">Embed CQI in routine management practices </w:t>
      </w:r>
    </w:p>
    <w:p w14:paraId="4B576A0A" w14:textId="6A5E46BA" w:rsidR="00FA5A45" w:rsidRPr="00F619BA" w:rsidRDefault="00F619BA" w:rsidP="00FA5A45">
      <w:pPr>
        <w:pStyle w:val="ListParagraph"/>
        <w:numPr>
          <w:ilvl w:val="0"/>
          <w:numId w:val="9"/>
        </w:numPr>
        <w:rPr>
          <w:sz w:val="22"/>
          <w:szCs w:val="22"/>
        </w:rPr>
      </w:pPr>
      <w:r w:rsidRPr="230A51B4">
        <w:rPr>
          <w:rFonts w:eastAsia="Omnes" w:cs="Omnes"/>
          <w:sz w:val="22"/>
          <w:szCs w:val="22"/>
        </w:rPr>
        <w:t xml:space="preserve">Provide easy access to information </w:t>
      </w:r>
    </w:p>
    <w:p w14:paraId="57BD1F23" w14:textId="2FCC63A8" w:rsidR="00FA5A45" w:rsidRDefault="00FA5A45" w:rsidP="00FA5A45">
      <w:pPr>
        <w:pStyle w:val="Heading1"/>
      </w:pPr>
      <w:r>
        <w:t>OhioKAN Site Performance Standards</w:t>
      </w:r>
    </w:p>
    <w:p w14:paraId="61F491E4" w14:textId="0D9ED7EE" w:rsidR="00E614D1" w:rsidRDefault="00FA5A45" w:rsidP="00FA5A45">
      <w:r>
        <w:t>OhioKAN’s site performance standards</w:t>
      </w:r>
      <w:r w:rsidR="00C40459">
        <w:t xml:space="preserve"> are </w:t>
      </w:r>
      <w:r w:rsidR="008C5B23">
        <w:t xml:space="preserve">outline in the Memorandum of Understanding and further operationalized in this framework </w:t>
      </w:r>
      <w:r w:rsidR="00775A6E">
        <w:t>designed to monitor and provide benchmarks for:</w:t>
      </w:r>
    </w:p>
    <w:p w14:paraId="6626FF18" w14:textId="749506B4" w:rsidR="00775A6E" w:rsidRDefault="00775A6E" w:rsidP="00775A6E">
      <w:pPr>
        <w:ind w:firstLine="720"/>
      </w:pPr>
      <w:r>
        <w:t xml:space="preserve">(a) </w:t>
      </w:r>
      <w:r w:rsidR="0009351D">
        <w:t>adhering</w:t>
      </w:r>
      <w:r w:rsidRPr="0080197D">
        <w:t xml:space="preserve"> to the Program goals, </w:t>
      </w:r>
    </w:p>
    <w:p w14:paraId="01152A3E" w14:textId="28DF2A4E" w:rsidR="00775A6E" w:rsidRDefault="0009351D" w:rsidP="00775A6E">
      <w:pPr>
        <w:ind w:firstLine="720"/>
      </w:pPr>
      <w:r>
        <w:t>(b) collecting</w:t>
      </w:r>
      <w:r w:rsidR="00775A6E">
        <w:t xml:space="preserve"> of</w:t>
      </w:r>
      <w:r w:rsidR="00775A6E" w:rsidRPr="0080197D">
        <w:t xml:space="preserve"> required data for Kinnect and evaluation team; </w:t>
      </w:r>
    </w:p>
    <w:p w14:paraId="24023CEE" w14:textId="37F35148" w:rsidR="00775A6E" w:rsidRDefault="0009351D" w:rsidP="00775A6E">
      <w:pPr>
        <w:ind w:firstLine="720"/>
      </w:pPr>
      <w:r>
        <w:t>(c) providing</w:t>
      </w:r>
      <w:r w:rsidR="00775A6E" w:rsidRPr="0080197D">
        <w:t xml:space="preserve"> timely and complete Program invoices; </w:t>
      </w:r>
    </w:p>
    <w:p w14:paraId="04E836FB" w14:textId="2BFFF45B" w:rsidR="00775A6E" w:rsidRDefault="00775A6E" w:rsidP="00775A6E">
      <w:pPr>
        <w:ind w:firstLine="720"/>
      </w:pPr>
      <w:r>
        <w:t>(d) id</w:t>
      </w:r>
      <w:r w:rsidR="0009351D">
        <w:t>entifying</w:t>
      </w:r>
      <w:r w:rsidRPr="0080197D">
        <w:t xml:space="preserve"> key staff responsible for ensuring success of the Program; </w:t>
      </w:r>
    </w:p>
    <w:p w14:paraId="5B91E2DB" w14:textId="6EFAFEE3" w:rsidR="00775A6E" w:rsidRDefault="00775A6E" w:rsidP="00775A6E">
      <w:pPr>
        <w:ind w:left="720"/>
      </w:pPr>
      <w:r>
        <w:t xml:space="preserve">(e) </w:t>
      </w:r>
      <w:r w:rsidR="0009351D">
        <w:t>ensuring</w:t>
      </w:r>
      <w:r w:rsidRPr="0080197D">
        <w:t xml:space="preserve"> fidelity to the Program model by having all relevant personnel and other relevant partners trained on the Program model; </w:t>
      </w:r>
    </w:p>
    <w:p w14:paraId="06B8DF70" w14:textId="08673E89" w:rsidR="00775A6E" w:rsidRDefault="00775A6E" w:rsidP="00775A6E">
      <w:pPr>
        <w:ind w:left="720"/>
      </w:pPr>
      <w:r>
        <w:t>(f) t</w:t>
      </w:r>
      <w:r w:rsidRPr="0080197D">
        <w:t xml:space="preserve">raining personnel on and ensuring compliance with the Health Insurance Portability and Accountability Act (“HIPAA”); and </w:t>
      </w:r>
    </w:p>
    <w:p w14:paraId="09AD53B0" w14:textId="284DB731" w:rsidR="003458AE" w:rsidRDefault="00775A6E" w:rsidP="00EB1083">
      <w:pPr>
        <w:ind w:left="720"/>
      </w:pPr>
      <w:r w:rsidRPr="0080197D">
        <w:t>(g) training personnel on and ensuring compliance with the nondiscrimination policy set forth in</w:t>
      </w:r>
      <w:r>
        <w:t xml:space="preserve"> the Memorandum Of Understanding</w:t>
      </w:r>
      <w:bookmarkStart w:id="0" w:name="_GoBack"/>
      <w:bookmarkEnd w:id="0"/>
    </w:p>
    <w:p w14:paraId="2AC1BB9A" w14:textId="65E79FAB" w:rsidR="003458AE" w:rsidRDefault="003458AE" w:rsidP="003458AE">
      <w:pPr>
        <w:pStyle w:val="Heading1"/>
      </w:pPr>
      <w:r>
        <w:t>Site Partnership Meetings</w:t>
      </w:r>
    </w:p>
    <w:p w14:paraId="665EC5C5" w14:textId="4C07DD28" w:rsidR="00767FF0" w:rsidRDefault="003458AE" w:rsidP="003458AE">
      <w:r>
        <w:t>OhioKAN’s Regional Director</w:t>
      </w:r>
      <w:r w:rsidR="00D00941">
        <w:t xml:space="preserve"> and Regional Coach will </w:t>
      </w:r>
      <w:r w:rsidR="000068ED">
        <w:t xml:space="preserve">each </w:t>
      </w:r>
      <w:r w:rsidR="00D00941">
        <w:t xml:space="preserve">meet </w:t>
      </w:r>
      <w:r w:rsidR="000068ED">
        <w:t xml:space="preserve">individually </w:t>
      </w:r>
      <w:r w:rsidR="00D00941">
        <w:t xml:space="preserve">with the </w:t>
      </w:r>
      <w:r w:rsidR="00157817">
        <w:t xml:space="preserve">Partnering Site Supervisor </w:t>
      </w:r>
      <w:r>
        <w:t xml:space="preserve">on a </w:t>
      </w:r>
      <w:r w:rsidR="00D00941">
        <w:t>m</w:t>
      </w:r>
      <w:r>
        <w:t xml:space="preserve">onthly basis to monitor performance standards, identify challenges, and create plans for improvement as appropriate. </w:t>
      </w:r>
      <w:r w:rsidR="00D00941">
        <w:t xml:space="preserve">Each site </w:t>
      </w:r>
      <w:r w:rsidR="00795B1C">
        <w:t>r</w:t>
      </w:r>
      <w:r w:rsidR="009A6E4A">
        <w:t>eceive</w:t>
      </w:r>
      <w:r w:rsidR="00795B1C">
        <w:t>s</w:t>
      </w:r>
      <w:r w:rsidR="009A6E4A">
        <w:t xml:space="preserve"> </w:t>
      </w:r>
      <w:r w:rsidR="00E82F16">
        <w:t xml:space="preserve">a monthly performance report which provides quantitative data on both site-level </w:t>
      </w:r>
      <w:r w:rsidR="00A243C7">
        <w:t>and navigator performance and statewide averages will be provided so that site can better understand how the</w:t>
      </w:r>
      <w:r w:rsidR="71F84C5B">
        <w:t>ir</w:t>
      </w:r>
      <w:r w:rsidR="00A243C7">
        <w:t xml:space="preserve"> performance relates to that of their peers.</w:t>
      </w:r>
      <w:r w:rsidR="00E82F16">
        <w:t xml:space="preserve"> </w:t>
      </w:r>
      <w:r>
        <w:t xml:space="preserve">During the </w:t>
      </w:r>
      <w:r w:rsidR="00A243C7">
        <w:t xml:space="preserve">site partnership </w:t>
      </w:r>
      <w:r>
        <w:t>meeting</w:t>
      </w:r>
      <w:r w:rsidR="00A243C7">
        <w:t>,</w:t>
      </w:r>
      <w:r>
        <w:t xml:space="preserve"> the Regional Director</w:t>
      </w:r>
      <w:r w:rsidR="00D00941">
        <w:t xml:space="preserve"> </w:t>
      </w:r>
      <w:r>
        <w:t xml:space="preserve">and </w:t>
      </w:r>
      <w:r w:rsidR="009A6E4A">
        <w:t xml:space="preserve">Partnering Site Supervisor </w:t>
      </w:r>
      <w:r>
        <w:t xml:space="preserve">review </w:t>
      </w:r>
      <w:r w:rsidR="005368BB">
        <w:t xml:space="preserve">the site </w:t>
      </w:r>
      <w:r w:rsidR="00D00941">
        <w:t>level performance and discuss any items relevant to the partnership. In a separate meeting the Regional</w:t>
      </w:r>
      <w:r w:rsidR="00157817">
        <w:t xml:space="preserve"> Coach and Site Supervisor</w:t>
      </w:r>
      <w:r w:rsidR="00D00941">
        <w:t xml:space="preserve"> will review the </w:t>
      </w:r>
      <w:r w:rsidR="009A6E4A">
        <w:t>performance of each navigator on their team.</w:t>
      </w:r>
      <w:r w:rsidR="00A243C7">
        <w:t xml:space="preserve"> If acute or persistent challenges prevent a site from meeting their performance </w:t>
      </w:r>
      <w:r w:rsidR="00157817">
        <w:t>standards the</w:t>
      </w:r>
      <w:r w:rsidR="00A243C7">
        <w:t xml:space="preserve"> Partnering Site Supervisor</w:t>
      </w:r>
      <w:r w:rsidR="000068ED">
        <w:t xml:space="preserve"> is responsible for developing a</w:t>
      </w:r>
      <w:r w:rsidR="00A243C7">
        <w:t xml:space="preserve"> Performance Improvement Plan</w:t>
      </w:r>
      <w:r w:rsidR="000068ED">
        <w:t xml:space="preserve"> specifying the steps the site will take to improve navigator or site performance. The </w:t>
      </w:r>
      <w:r w:rsidR="000068ED">
        <w:t xml:space="preserve">Regional </w:t>
      </w:r>
      <w:r w:rsidR="000068ED">
        <w:lastRenderedPageBreak/>
        <w:t>Director and/or Coach will</w:t>
      </w:r>
      <w:r w:rsidR="000068ED">
        <w:t xml:space="preserve"> participate in the development of the plan </w:t>
      </w:r>
      <w:r w:rsidR="00F40A88">
        <w:t>and will</w:t>
      </w:r>
      <w:r w:rsidR="000068ED">
        <w:t xml:space="preserve"> partner with the Partnering Site Supervisor to</w:t>
      </w:r>
      <w:r w:rsidR="00F40A88">
        <w:t xml:space="preserve"> monitor progress at subsequent meetings</w:t>
      </w:r>
      <w:r w:rsidR="000068ED">
        <w:t xml:space="preserve"> until the plan’s completion</w:t>
      </w:r>
      <w:r w:rsidR="00F40A88">
        <w:t>.</w:t>
      </w:r>
      <w:r w:rsidR="00767FF0">
        <w:t xml:space="preserve"> </w:t>
      </w:r>
    </w:p>
    <w:p w14:paraId="19827447" w14:textId="77777777" w:rsidR="00767FF0" w:rsidRDefault="00767FF0" w:rsidP="003458AE"/>
    <w:p w14:paraId="6546C8A0" w14:textId="50F964C8" w:rsidR="003458AE" w:rsidRDefault="00767FF0" w:rsidP="003458AE">
      <w:r>
        <w:t>Examples of acute and persistent challenges include but are not limited to:</w:t>
      </w:r>
    </w:p>
    <w:p w14:paraId="0A9C3FF9" w14:textId="42E2ED45" w:rsidR="00767FF0" w:rsidRDefault="000068ED" w:rsidP="00767FF0">
      <w:pPr>
        <w:pStyle w:val="ListParagraph"/>
        <w:numPr>
          <w:ilvl w:val="0"/>
          <w:numId w:val="11"/>
        </w:numPr>
      </w:pPr>
      <w:r>
        <w:t>Navigator’s f</w:t>
      </w:r>
      <w:r w:rsidR="00767FF0">
        <w:t>ailure to document work with families in an appropriate and timely manner</w:t>
      </w:r>
    </w:p>
    <w:p w14:paraId="3EA947AC" w14:textId="73316E42" w:rsidR="00767FF0" w:rsidRDefault="000068ED" w:rsidP="00767FF0">
      <w:pPr>
        <w:pStyle w:val="ListParagraph"/>
        <w:numPr>
          <w:ilvl w:val="0"/>
          <w:numId w:val="11"/>
        </w:numPr>
      </w:pPr>
      <w:r>
        <w:t>Navigator is experiancing c</w:t>
      </w:r>
      <w:r w:rsidR="00767FF0">
        <w:t>onsistent challenges meeting the practice expectations specified in the OhioKAN Navigator Practice Profile</w:t>
      </w:r>
    </w:p>
    <w:p w14:paraId="325E6249" w14:textId="5ED26D5E" w:rsidR="00767FF0" w:rsidRDefault="000068ED" w:rsidP="00767FF0">
      <w:pPr>
        <w:pStyle w:val="ListParagraph"/>
        <w:numPr>
          <w:ilvl w:val="0"/>
          <w:numId w:val="11"/>
        </w:numPr>
      </w:pPr>
      <w:r>
        <w:t>Navigator has r</w:t>
      </w:r>
      <w:r w:rsidR="00767FF0">
        <w:t>epeated instances of deviation from the OhioKAN Procedures or failure to follow through on activities specified in the procedures</w:t>
      </w:r>
    </w:p>
    <w:p w14:paraId="49BA8564" w14:textId="4CE3F564" w:rsidR="009475C2" w:rsidRDefault="009475C2" w:rsidP="00767FF0">
      <w:pPr>
        <w:pStyle w:val="ListParagraph"/>
        <w:numPr>
          <w:ilvl w:val="0"/>
          <w:numId w:val="11"/>
        </w:numPr>
      </w:pPr>
      <w:r>
        <w:t xml:space="preserve">Navigator demonstrates consistent challenges working collaboratively with OhioKAN staff or program partners </w:t>
      </w:r>
    </w:p>
    <w:p w14:paraId="5E22016B" w14:textId="02AD9CBA" w:rsidR="000068ED" w:rsidRDefault="000068ED" w:rsidP="00767FF0">
      <w:pPr>
        <w:pStyle w:val="ListParagraph"/>
        <w:numPr>
          <w:ilvl w:val="0"/>
          <w:numId w:val="11"/>
        </w:numPr>
      </w:pPr>
      <w:r>
        <w:t>Navigator position remains vacant for an extended period of time with little or no progress in staff selection</w:t>
      </w:r>
    </w:p>
    <w:p w14:paraId="07675F6F" w14:textId="18D9DEBA" w:rsidR="00075DA7" w:rsidRDefault="00075DA7" w:rsidP="00075DA7">
      <w:pPr>
        <w:pStyle w:val="Heading1"/>
      </w:pPr>
      <w:r>
        <w:t>Navigator Key Performance Indicators</w:t>
      </w:r>
    </w:p>
    <w:p w14:paraId="64369975" w14:textId="77777777" w:rsidR="00DC441D" w:rsidRPr="00E869D4" w:rsidRDefault="00DC441D" w:rsidP="00DC441D">
      <w:pPr>
        <w:pStyle w:val="ListParagraph"/>
        <w:numPr>
          <w:ilvl w:val="0"/>
          <w:numId w:val="12"/>
        </w:numPr>
        <w:spacing w:after="160" w:line="259" w:lineRule="auto"/>
        <w:rPr>
          <w:rFonts w:cs="Microsoft New Tai Lue"/>
        </w:rPr>
      </w:pPr>
      <w:r w:rsidRPr="00E869D4">
        <w:rPr>
          <w:rFonts w:cs="Microsoft New Tai Lue"/>
        </w:rPr>
        <w:t xml:space="preserve">97% completion of BASICS with notes that document families’ strengths and specific areas of need </w:t>
      </w:r>
    </w:p>
    <w:p w14:paraId="1DAA0270" w14:textId="77777777" w:rsidR="00DC441D" w:rsidRPr="00E869D4" w:rsidRDefault="00DC441D" w:rsidP="00DC441D">
      <w:pPr>
        <w:pStyle w:val="ListParagraph"/>
        <w:numPr>
          <w:ilvl w:val="0"/>
          <w:numId w:val="12"/>
        </w:numPr>
        <w:spacing w:after="160" w:line="259" w:lineRule="auto"/>
        <w:rPr>
          <w:rFonts w:cs="Microsoft New Tai Lue"/>
        </w:rPr>
      </w:pPr>
      <w:r w:rsidRPr="00E869D4">
        <w:rPr>
          <w:rFonts w:cs="Microsoft New Tai Lue"/>
        </w:rPr>
        <w:t>97% completion of demographics</w:t>
      </w:r>
    </w:p>
    <w:p w14:paraId="6F29935A" w14:textId="77777777" w:rsidR="00DC441D" w:rsidRDefault="00DC441D" w:rsidP="00DC441D">
      <w:pPr>
        <w:pStyle w:val="ListParagraph"/>
        <w:numPr>
          <w:ilvl w:val="0"/>
          <w:numId w:val="12"/>
        </w:numPr>
        <w:spacing w:after="160" w:line="259" w:lineRule="auto"/>
        <w:rPr>
          <w:rFonts w:cs="Microsoft New Tai Lue"/>
        </w:rPr>
      </w:pPr>
      <w:r w:rsidRPr="00E869D4">
        <w:rPr>
          <w:rFonts w:cs="Microsoft New Tai Lue"/>
        </w:rPr>
        <w:t xml:space="preserve">Track and share, with coach and coordinator, weekly data relating to the number of service gaps and barriers to service (barriers might be no transportation, not the right technology, etc.). </w:t>
      </w:r>
    </w:p>
    <w:p w14:paraId="1E2C37E4" w14:textId="7E99D912" w:rsidR="00DC441D" w:rsidRPr="00E869D4" w:rsidRDefault="00DC441D" w:rsidP="00DC441D">
      <w:pPr>
        <w:pStyle w:val="ListParagraph"/>
        <w:numPr>
          <w:ilvl w:val="1"/>
          <w:numId w:val="12"/>
        </w:numPr>
        <w:spacing w:after="160" w:line="259" w:lineRule="auto"/>
        <w:rPr>
          <w:rFonts w:cs="Microsoft New Tai Lue"/>
        </w:rPr>
      </w:pPr>
      <w:r w:rsidRPr="00E869D4">
        <w:rPr>
          <w:rFonts w:cs="Microsoft New Tai Lue"/>
        </w:rPr>
        <w:t>Weekly data should be shared every Monday for the preceding week.</w:t>
      </w:r>
    </w:p>
    <w:p w14:paraId="2168D7F5" w14:textId="77777777" w:rsidR="00DC441D" w:rsidRPr="00E869D4" w:rsidRDefault="00DC441D" w:rsidP="00DC441D">
      <w:pPr>
        <w:pStyle w:val="ListParagraph"/>
        <w:numPr>
          <w:ilvl w:val="0"/>
          <w:numId w:val="12"/>
        </w:numPr>
        <w:spacing w:after="160" w:line="259" w:lineRule="auto"/>
        <w:rPr>
          <w:rFonts w:cs="Microsoft New Tai Lue"/>
        </w:rPr>
      </w:pPr>
      <w:r w:rsidRPr="00E869D4">
        <w:rPr>
          <w:rFonts w:cs="Microsoft New Tai Lue"/>
        </w:rPr>
        <w:t xml:space="preserve">Observation Rubric indicates that Navigator is receiving a 3 or higher for Setting Expectations, Active Listening, Opened Ended Questions and identifying Urgent/Complex needs. </w:t>
      </w:r>
    </w:p>
    <w:p w14:paraId="4E319956" w14:textId="77777777" w:rsidR="00DC441D" w:rsidRPr="00E869D4" w:rsidRDefault="00DC441D" w:rsidP="00DC441D">
      <w:pPr>
        <w:pStyle w:val="ListParagraph"/>
        <w:numPr>
          <w:ilvl w:val="0"/>
          <w:numId w:val="12"/>
        </w:numPr>
        <w:spacing w:after="160" w:line="259" w:lineRule="auto"/>
        <w:rPr>
          <w:rFonts w:cs="Microsoft New Tai Lue"/>
        </w:rPr>
      </w:pPr>
      <w:r w:rsidRPr="00E869D4">
        <w:rPr>
          <w:rFonts w:cs="Microsoft New Tai Lue"/>
        </w:rPr>
        <w:t xml:space="preserve">IDEA: Identify a personal learning/educational goal around Inclusion, Diversity, Equity and Access discussions. It could be as specific as reading “Between the World and Me” or something as broad as understanding the immigrant/migrant perspective or understanding systemic racism. </w:t>
      </w:r>
    </w:p>
    <w:p w14:paraId="5FD44F15" w14:textId="77777777" w:rsidR="00DC441D" w:rsidRPr="00E869D4" w:rsidRDefault="00DC441D" w:rsidP="00DC441D">
      <w:pPr>
        <w:pStyle w:val="ListParagraph"/>
        <w:numPr>
          <w:ilvl w:val="1"/>
          <w:numId w:val="12"/>
        </w:numPr>
        <w:spacing w:after="160" w:line="259" w:lineRule="auto"/>
        <w:rPr>
          <w:rFonts w:cs="Microsoft New Tai Lue"/>
        </w:rPr>
      </w:pPr>
      <w:r w:rsidRPr="00E869D4">
        <w:rPr>
          <w:rFonts w:cs="Microsoft New Tai Lue"/>
        </w:rPr>
        <w:t>Learnings will be shared once per month in regular meetings and/or through the observation rubric.</w:t>
      </w:r>
    </w:p>
    <w:p w14:paraId="2B59E1B6" w14:textId="77777777" w:rsidR="00075DA7" w:rsidRDefault="00075DA7">
      <w:pPr>
        <w:rPr>
          <w:rFonts w:eastAsiaTheme="majorEastAsia" w:cstheme="majorBidi"/>
          <w:b/>
          <w:color w:val="033C61" w:themeColor="accent1" w:themeShade="BF"/>
          <w:sz w:val="32"/>
          <w:szCs w:val="32"/>
        </w:rPr>
      </w:pPr>
      <w:r>
        <w:br w:type="page"/>
      </w:r>
    </w:p>
    <w:p w14:paraId="4EDA4964" w14:textId="71C84708" w:rsidR="003B4D17" w:rsidRDefault="003B4D17" w:rsidP="003F57DB">
      <w:pPr>
        <w:pStyle w:val="Heading1"/>
      </w:pPr>
      <w:r>
        <w:lastRenderedPageBreak/>
        <w:t>Sample Agenda for Site Partnership Meetings</w:t>
      </w:r>
    </w:p>
    <w:p w14:paraId="41BD85FB" w14:textId="540A88CB" w:rsidR="003B4D17" w:rsidRDefault="003F57DB" w:rsidP="003B4D17">
      <w:pPr>
        <w:pStyle w:val="ListParagraph"/>
        <w:numPr>
          <w:ilvl w:val="0"/>
          <w:numId w:val="10"/>
        </w:numPr>
      </w:pPr>
      <w:r>
        <w:t>Welcome and brief time to connect personally</w:t>
      </w:r>
    </w:p>
    <w:p w14:paraId="332EC09E" w14:textId="52E2FCC9" w:rsidR="003F57DB" w:rsidRDefault="003F57DB" w:rsidP="003B4D17">
      <w:pPr>
        <w:pStyle w:val="ListParagraph"/>
        <w:numPr>
          <w:ilvl w:val="0"/>
          <w:numId w:val="10"/>
        </w:numPr>
      </w:pPr>
      <w:r>
        <w:t>Review any goals or action items from the previous meeting</w:t>
      </w:r>
    </w:p>
    <w:p w14:paraId="3396461A" w14:textId="104361AA" w:rsidR="003F57DB" w:rsidRDefault="003F57DB" w:rsidP="003B4D17">
      <w:pPr>
        <w:pStyle w:val="ListParagraph"/>
        <w:numPr>
          <w:ilvl w:val="0"/>
          <w:numId w:val="10"/>
        </w:numPr>
      </w:pPr>
      <w:r>
        <w:t>Overview of Site Level Performance – discuss any hiring or compliance related items</w:t>
      </w:r>
    </w:p>
    <w:p w14:paraId="04067F98" w14:textId="32702BBC" w:rsidR="003F57DB" w:rsidRDefault="003F57DB" w:rsidP="003B4D17">
      <w:pPr>
        <w:pStyle w:val="ListParagraph"/>
        <w:numPr>
          <w:ilvl w:val="0"/>
          <w:numId w:val="10"/>
        </w:numPr>
      </w:pPr>
      <w:r>
        <w:t>Overview of Navigator Performance – discuss any navigator specific items</w:t>
      </w:r>
    </w:p>
    <w:p w14:paraId="144A9375" w14:textId="6D5390D0" w:rsidR="003F57DB" w:rsidRDefault="003F57DB" w:rsidP="003B4D17">
      <w:pPr>
        <w:pStyle w:val="ListParagraph"/>
        <w:numPr>
          <w:ilvl w:val="0"/>
          <w:numId w:val="10"/>
        </w:numPr>
      </w:pPr>
      <w:r>
        <w:t>Identify next steps – all goals and action items should be revisited during the next meeting</w:t>
      </w:r>
    </w:p>
    <w:p w14:paraId="386227D3" w14:textId="77777777" w:rsidR="009A6E4A" w:rsidRDefault="009A6E4A" w:rsidP="003458AE"/>
    <w:p w14:paraId="678B9F7A" w14:textId="47BDB661" w:rsidR="003458AE" w:rsidRDefault="003F57DB" w:rsidP="00F40A88">
      <w:pPr>
        <w:pStyle w:val="Heading1"/>
      </w:pPr>
      <w:r>
        <w:t>Sample T</w:t>
      </w:r>
      <w:r w:rsidR="00F40A88">
        <w:t>able of Site Level Performance</w:t>
      </w:r>
    </w:p>
    <w:tbl>
      <w:tblPr>
        <w:tblStyle w:val="GridTable4-Accent1"/>
        <w:tblW w:w="5000" w:type="pct"/>
        <w:tblBorders>
          <w:top w:val="single" w:sz="4" w:space="0" w:color="045182" w:themeColor="accent1"/>
          <w:left w:val="single" w:sz="4" w:space="0" w:color="045182" w:themeColor="accent1"/>
          <w:bottom w:val="single" w:sz="4" w:space="0" w:color="045182" w:themeColor="accent1"/>
          <w:right w:val="single" w:sz="4" w:space="0" w:color="045182" w:themeColor="accent1"/>
          <w:insideH w:val="single" w:sz="4" w:space="0" w:color="045182" w:themeColor="accent1"/>
          <w:insideV w:val="single" w:sz="4" w:space="0" w:color="045182" w:themeColor="accent1"/>
        </w:tblBorders>
        <w:tblLook w:val="0620" w:firstRow="1" w:lastRow="0" w:firstColumn="0" w:lastColumn="0" w:noHBand="1" w:noVBand="1"/>
      </w:tblPr>
      <w:tblGrid>
        <w:gridCol w:w="3896"/>
        <w:gridCol w:w="2225"/>
        <w:gridCol w:w="3229"/>
      </w:tblGrid>
      <w:tr w:rsidR="003458AE" w14:paraId="1D076838" w14:textId="77777777" w:rsidTr="005770F9">
        <w:trPr>
          <w:cnfStyle w:val="100000000000" w:firstRow="1" w:lastRow="0" w:firstColumn="0" w:lastColumn="0" w:oddVBand="0" w:evenVBand="0" w:oddHBand="0" w:evenHBand="0" w:firstRowFirstColumn="0" w:firstRowLastColumn="0" w:lastRowFirstColumn="0" w:lastRowLastColumn="0"/>
          <w:trHeight w:val="437"/>
        </w:trPr>
        <w:tc>
          <w:tcPr>
            <w:tcW w:w="2083" w:type="pct"/>
          </w:tcPr>
          <w:p w14:paraId="72720719" w14:textId="792B238E" w:rsidR="003458AE" w:rsidRDefault="003458AE" w:rsidP="00BD298D">
            <w:r>
              <w:t>Performance Standard</w:t>
            </w:r>
            <w:r w:rsidR="005368BB">
              <w:t>s</w:t>
            </w:r>
          </w:p>
        </w:tc>
        <w:tc>
          <w:tcPr>
            <w:tcW w:w="1190" w:type="pct"/>
          </w:tcPr>
          <w:p w14:paraId="30A11F9D" w14:textId="77777777" w:rsidR="003458AE" w:rsidRDefault="003458AE" w:rsidP="00BD298D">
            <w:r>
              <w:t>Site average</w:t>
            </w:r>
          </w:p>
        </w:tc>
        <w:tc>
          <w:tcPr>
            <w:tcW w:w="1727" w:type="pct"/>
          </w:tcPr>
          <w:p w14:paraId="30468920" w14:textId="77777777" w:rsidR="003458AE" w:rsidRDefault="003458AE" w:rsidP="00BD298D">
            <w:r>
              <w:t>Statewide Average</w:t>
            </w:r>
          </w:p>
        </w:tc>
      </w:tr>
      <w:tr w:rsidR="003458AE" w14:paraId="4754D1B8" w14:textId="77777777" w:rsidTr="005770F9">
        <w:trPr>
          <w:trHeight w:val="218"/>
        </w:trPr>
        <w:tc>
          <w:tcPr>
            <w:tcW w:w="2083" w:type="pct"/>
          </w:tcPr>
          <w:p w14:paraId="4035ECC8" w14:textId="43596C5B" w:rsidR="003458AE" w:rsidRDefault="00C33B35" w:rsidP="00BD298D">
            <w:r w:rsidRPr="00C33B35">
              <w:rPr>
                <w:b/>
                <w:sz w:val="22"/>
                <w:szCs w:val="22"/>
              </w:rPr>
              <w:t>Number of vacancies</w:t>
            </w:r>
            <w:r>
              <w:rPr>
                <w:sz w:val="22"/>
                <w:szCs w:val="22"/>
              </w:rPr>
              <w:t xml:space="preserve"> - </w:t>
            </w:r>
            <w:r w:rsidR="003458AE">
              <w:rPr>
                <w:sz w:val="22"/>
                <w:szCs w:val="22"/>
              </w:rPr>
              <w:t>1 vacancy or less</w:t>
            </w:r>
          </w:p>
        </w:tc>
        <w:tc>
          <w:tcPr>
            <w:tcW w:w="1190" w:type="pct"/>
          </w:tcPr>
          <w:p w14:paraId="23A2E1D8" w14:textId="77777777" w:rsidR="003458AE" w:rsidRDefault="003458AE" w:rsidP="00BD298D"/>
        </w:tc>
        <w:tc>
          <w:tcPr>
            <w:tcW w:w="1727" w:type="pct"/>
          </w:tcPr>
          <w:p w14:paraId="3ABEDDEE" w14:textId="77777777" w:rsidR="003458AE" w:rsidRDefault="003458AE" w:rsidP="00BD298D"/>
        </w:tc>
      </w:tr>
      <w:tr w:rsidR="003458AE" w14:paraId="7489FCC4" w14:textId="77777777" w:rsidTr="005770F9">
        <w:trPr>
          <w:trHeight w:val="226"/>
        </w:trPr>
        <w:tc>
          <w:tcPr>
            <w:tcW w:w="2083" w:type="pct"/>
          </w:tcPr>
          <w:p w14:paraId="1BFE6D04" w14:textId="1300176E" w:rsidR="003458AE" w:rsidRDefault="00C33B35" w:rsidP="00BD298D">
            <w:r w:rsidRPr="00C33B35">
              <w:rPr>
                <w:b/>
                <w:sz w:val="22"/>
                <w:szCs w:val="22"/>
              </w:rPr>
              <w:t>Retention rate</w:t>
            </w:r>
            <w:r>
              <w:rPr>
                <w:sz w:val="22"/>
                <w:szCs w:val="22"/>
              </w:rPr>
              <w:t xml:space="preserve"> -</w:t>
            </w:r>
            <w:r w:rsidR="003458AE">
              <w:rPr>
                <w:sz w:val="22"/>
                <w:szCs w:val="22"/>
              </w:rPr>
              <w:t xml:space="preserve"> 75% or more</w:t>
            </w:r>
          </w:p>
        </w:tc>
        <w:tc>
          <w:tcPr>
            <w:tcW w:w="1190" w:type="pct"/>
          </w:tcPr>
          <w:p w14:paraId="1046E212" w14:textId="77777777" w:rsidR="003458AE" w:rsidRDefault="003458AE" w:rsidP="00BD298D"/>
        </w:tc>
        <w:tc>
          <w:tcPr>
            <w:tcW w:w="1727" w:type="pct"/>
          </w:tcPr>
          <w:p w14:paraId="0A5B8856" w14:textId="77777777" w:rsidR="003458AE" w:rsidRDefault="003458AE" w:rsidP="00BD298D"/>
        </w:tc>
      </w:tr>
      <w:tr w:rsidR="003458AE" w14:paraId="051F83AD" w14:textId="77777777" w:rsidTr="005770F9">
        <w:trPr>
          <w:trHeight w:val="218"/>
        </w:trPr>
        <w:tc>
          <w:tcPr>
            <w:tcW w:w="2083" w:type="pct"/>
          </w:tcPr>
          <w:p w14:paraId="6CB2EDE0" w14:textId="5728FD69" w:rsidR="003458AE" w:rsidRDefault="00C33B35" w:rsidP="00C33B35">
            <w:r w:rsidRPr="00C33B35">
              <w:rPr>
                <w:b/>
                <w:sz w:val="22"/>
                <w:szCs w:val="22"/>
              </w:rPr>
              <w:t>Time to hire of most recent vacancy</w:t>
            </w:r>
            <w:r>
              <w:rPr>
                <w:sz w:val="22"/>
                <w:szCs w:val="22"/>
              </w:rPr>
              <w:t xml:space="preserve"> - v</w:t>
            </w:r>
            <w:r w:rsidR="003458AE">
              <w:rPr>
                <w:sz w:val="22"/>
                <w:szCs w:val="22"/>
              </w:rPr>
              <w:t>acancies are filled within 45 days</w:t>
            </w:r>
          </w:p>
        </w:tc>
        <w:tc>
          <w:tcPr>
            <w:tcW w:w="1190" w:type="pct"/>
          </w:tcPr>
          <w:p w14:paraId="27C6D000" w14:textId="77777777" w:rsidR="003458AE" w:rsidRDefault="003458AE" w:rsidP="00BD298D"/>
        </w:tc>
        <w:tc>
          <w:tcPr>
            <w:tcW w:w="1727" w:type="pct"/>
          </w:tcPr>
          <w:p w14:paraId="11264B32" w14:textId="77777777" w:rsidR="003458AE" w:rsidRDefault="003458AE" w:rsidP="00BD298D"/>
        </w:tc>
      </w:tr>
      <w:tr w:rsidR="003458AE" w14:paraId="3B1E0F12" w14:textId="77777777" w:rsidTr="005770F9">
        <w:trPr>
          <w:trHeight w:val="218"/>
        </w:trPr>
        <w:tc>
          <w:tcPr>
            <w:tcW w:w="2083" w:type="pct"/>
          </w:tcPr>
          <w:p w14:paraId="250B3467" w14:textId="0DEE9151" w:rsidR="003458AE" w:rsidRDefault="00C33B35" w:rsidP="00BD298D">
            <w:r w:rsidRPr="00C33B35">
              <w:rPr>
                <w:b/>
                <w:sz w:val="22"/>
                <w:szCs w:val="22"/>
              </w:rPr>
              <w:t>Average time to hire across the contract period</w:t>
            </w:r>
            <w:r>
              <w:rPr>
                <w:sz w:val="22"/>
                <w:szCs w:val="22"/>
              </w:rPr>
              <w:t xml:space="preserve"> - </w:t>
            </w:r>
            <w:r w:rsidR="003458AE">
              <w:rPr>
                <w:sz w:val="22"/>
                <w:szCs w:val="22"/>
              </w:rPr>
              <w:t>Vacancies are filled within 45 days</w:t>
            </w:r>
          </w:p>
        </w:tc>
        <w:tc>
          <w:tcPr>
            <w:tcW w:w="1190" w:type="pct"/>
          </w:tcPr>
          <w:p w14:paraId="4CAE224E" w14:textId="77777777" w:rsidR="003458AE" w:rsidRDefault="003458AE" w:rsidP="00BD298D"/>
        </w:tc>
        <w:tc>
          <w:tcPr>
            <w:tcW w:w="1727" w:type="pct"/>
          </w:tcPr>
          <w:p w14:paraId="4F66F050" w14:textId="77777777" w:rsidR="003458AE" w:rsidRDefault="003458AE" w:rsidP="00BD298D"/>
        </w:tc>
      </w:tr>
      <w:tr w:rsidR="003458AE" w14:paraId="50C679A9" w14:textId="77777777" w:rsidTr="005770F9">
        <w:trPr>
          <w:trHeight w:val="218"/>
        </w:trPr>
        <w:tc>
          <w:tcPr>
            <w:tcW w:w="2083" w:type="pct"/>
          </w:tcPr>
          <w:p w14:paraId="346FC11E" w14:textId="77777777" w:rsidR="003458AE" w:rsidRDefault="00C33B35" w:rsidP="00BD298D">
            <w:pPr>
              <w:rPr>
                <w:sz w:val="22"/>
                <w:szCs w:val="22"/>
              </w:rPr>
            </w:pPr>
            <w:r w:rsidRPr="00C33B35">
              <w:rPr>
                <w:b/>
                <w:sz w:val="22"/>
                <w:szCs w:val="22"/>
              </w:rPr>
              <w:t>Nondiscrimination Compliance</w:t>
            </w:r>
            <w:r>
              <w:rPr>
                <w:sz w:val="22"/>
                <w:szCs w:val="22"/>
              </w:rPr>
              <w:t xml:space="preserve"> - </w:t>
            </w:r>
            <w:r w:rsidR="003458AE">
              <w:rPr>
                <w:sz w:val="22"/>
                <w:szCs w:val="22"/>
              </w:rPr>
              <w:t>100% of staff in compliance with the Nondiscrimination Policy</w:t>
            </w:r>
          </w:p>
          <w:p w14:paraId="77239A97" w14:textId="02F7BCC2" w:rsidR="00EF70CF" w:rsidRDefault="00EF70CF" w:rsidP="00BD298D">
            <w:pPr>
              <w:rPr>
                <w:sz w:val="22"/>
                <w:szCs w:val="22"/>
              </w:rPr>
            </w:pPr>
            <w:r>
              <w:rPr>
                <w:sz w:val="22"/>
                <w:szCs w:val="22"/>
              </w:rPr>
              <w:t>-</w:t>
            </w:r>
            <w:r w:rsidR="0092058F">
              <w:rPr>
                <w:sz w:val="22"/>
                <w:szCs w:val="22"/>
              </w:rPr>
              <w:t>All staff have been trained on nondiscrimination</w:t>
            </w:r>
          </w:p>
          <w:p w14:paraId="0F34773D" w14:textId="77777777" w:rsidR="00EF70CF" w:rsidRDefault="00EF70CF" w:rsidP="0092058F">
            <w:pPr>
              <w:rPr>
                <w:sz w:val="22"/>
                <w:szCs w:val="22"/>
              </w:rPr>
            </w:pPr>
            <w:r>
              <w:rPr>
                <w:sz w:val="22"/>
                <w:szCs w:val="22"/>
              </w:rPr>
              <w:t>-</w:t>
            </w:r>
            <w:r w:rsidR="0092058F">
              <w:rPr>
                <w:sz w:val="22"/>
                <w:szCs w:val="22"/>
              </w:rPr>
              <w:t>All employee records include signed policy</w:t>
            </w:r>
          </w:p>
          <w:p w14:paraId="0B34EF7F" w14:textId="74B815FB" w:rsidR="009475C2" w:rsidRPr="0092058F" w:rsidRDefault="009475C2" w:rsidP="0092058F">
            <w:pPr>
              <w:rPr>
                <w:sz w:val="22"/>
                <w:szCs w:val="22"/>
              </w:rPr>
            </w:pPr>
            <w:r>
              <w:rPr>
                <w:sz w:val="22"/>
                <w:szCs w:val="22"/>
              </w:rPr>
              <w:t xml:space="preserve">-All complaints of violation of the Partnering Site’s Nondiscrimination Policy involving Navigators or Site Supervisors are reported to the Regional Director within two business days of the Partnering Site learning of the violation </w:t>
            </w:r>
          </w:p>
        </w:tc>
        <w:tc>
          <w:tcPr>
            <w:tcW w:w="1190" w:type="pct"/>
          </w:tcPr>
          <w:p w14:paraId="5F0AFC36" w14:textId="77777777" w:rsidR="003458AE" w:rsidRDefault="003458AE" w:rsidP="00BD298D"/>
        </w:tc>
        <w:tc>
          <w:tcPr>
            <w:tcW w:w="1727" w:type="pct"/>
          </w:tcPr>
          <w:p w14:paraId="437A9582" w14:textId="77777777" w:rsidR="003458AE" w:rsidRDefault="003458AE" w:rsidP="00BD298D"/>
        </w:tc>
      </w:tr>
      <w:tr w:rsidR="00EF70CF" w14:paraId="5B88823E" w14:textId="77777777" w:rsidTr="005770F9">
        <w:trPr>
          <w:trHeight w:val="218"/>
        </w:trPr>
        <w:tc>
          <w:tcPr>
            <w:tcW w:w="2083" w:type="pct"/>
          </w:tcPr>
          <w:p w14:paraId="4EE86792" w14:textId="1B170AD7" w:rsidR="00EF70CF" w:rsidRPr="00C33B35" w:rsidRDefault="00EF70CF" w:rsidP="00BD298D">
            <w:pPr>
              <w:rPr>
                <w:b/>
                <w:sz w:val="22"/>
                <w:szCs w:val="22"/>
              </w:rPr>
            </w:pPr>
            <w:r>
              <w:rPr>
                <w:b/>
                <w:sz w:val="22"/>
                <w:szCs w:val="22"/>
              </w:rPr>
              <w:t># of discrimination complaints</w:t>
            </w:r>
          </w:p>
        </w:tc>
        <w:tc>
          <w:tcPr>
            <w:tcW w:w="1190" w:type="pct"/>
          </w:tcPr>
          <w:p w14:paraId="44DA35D6" w14:textId="77777777" w:rsidR="00EF70CF" w:rsidRDefault="00EF70CF" w:rsidP="00BD298D"/>
        </w:tc>
        <w:tc>
          <w:tcPr>
            <w:tcW w:w="1727" w:type="pct"/>
          </w:tcPr>
          <w:p w14:paraId="02503EDE" w14:textId="77777777" w:rsidR="00EF70CF" w:rsidRDefault="00EF70CF" w:rsidP="00BD298D"/>
        </w:tc>
      </w:tr>
      <w:tr w:rsidR="003458AE" w14:paraId="07864A41" w14:textId="77777777" w:rsidTr="005770F9">
        <w:trPr>
          <w:trHeight w:val="218"/>
        </w:trPr>
        <w:tc>
          <w:tcPr>
            <w:tcW w:w="2083" w:type="pct"/>
          </w:tcPr>
          <w:p w14:paraId="026E5270" w14:textId="77777777" w:rsidR="003458AE" w:rsidRDefault="005770F9" w:rsidP="00BD298D">
            <w:pPr>
              <w:rPr>
                <w:sz w:val="22"/>
                <w:szCs w:val="22"/>
              </w:rPr>
            </w:pPr>
            <w:r w:rsidRPr="005770F9">
              <w:rPr>
                <w:b/>
                <w:sz w:val="22"/>
                <w:szCs w:val="22"/>
              </w:rPr>
              <w:t>HIPPA Compliance</w:t>
            </w:r>
            <w:r>
              <w:rPr>
                <w:sz w:val="22"/>
                <w:szCs w:val="22"/>
              </w:rPr>
              <w:t xml:space="preserve"> - </w:t>
            </w:r>
            <w:r w:rsidR="003458AE">
              <w:rPr>
                <w:sz w:val="22"/>
                <w:szCs w:val="22"/>
              </w:rPr>
              <w:t>100% of staff in compliance with HIPPA</w:t>
            </w:r>
          </w:p>
          <w:p w14:paraId="64CB5BAE" w14:textId="578553D8" w:rsidR="0092058F" w:rsidRDefault="0092058F" w:rsidP="0092058F">
            <w:pPr>
              <w:rPr>
                <w:sz w:val="22"/>
                <w:szCs w:val="22"/>
              </w:rPr>
            </w:pPr>
            <w:r>
              <w:rPr>
                <w:sz w:val="22"/>
                <w:szCs w:val="22"/>
              </w:rPr>
              <w:t>-All staff have been trained on HIPPA Compliance</w:t>
            </w:r>
          </w:p>
          <w:p w14:paraId="0C5C6B77" w14:textId="77777777" w:rsidR="00EF70CF" w:rsidRDefault="0092058F" w:rsidP="00BD298D">
            <w:pPr>
              <w:rPr>
                <w:sz w:val="22"/>
                <w:szCs w:val="22"/>
              </w:rPr>
            </w:pPr>
            <w:r>
              <w:rPr>
                <w:sz w:val="22"/>
                <w:szCs w:val="22"/>
              </w:rPr>
              <w:t>-All employee records include signed policy</w:t>
            </w:r>
          </w:p>
          <w:p w14:paraId="693635A3" w14:textId="494ADC1B" w:rsidR="009475C2" w:rsidRPr="0092058F" w:rsidRDefault="009475C2" w:rsidP="009475C2">
            <w:pPr>
              <w:rPr>
                <w:sz w:val="22"/>
                <w:szCs w:val="22"/>
              </w:rPr>
            </w:pPr>
            <w:r>
              <w:rPr>
                <w:sz w:val="22"/>
                <w:szCs w:val="22"/>
              </w:rPr>
              <w:t>-</w:t>
            </w:r>
            <w:r>
              <w:rPr>
                <w:sz w:val="22"/>
                <w:szCs w:val="22"/>
              </w:rPr>
              <w:t xml:space="preserve">All violations of </w:t>
            </w:r>
            <w:r>
              <w:rPr>
                <w:sz w:val="22"/>
                <w:szCs w:val="22"/>
              </w:rPr>
              <w:t xml:space="preserve">HIPPA relevant to the OhioKAN Program </w:t>
            </w:r>
            <w:r>
              <w:rPr>
                <w:sz w:val="22"/>
                <w:szCs w:val="22"/>
              </w:rPr>
              <w:t>are reported to the Regional Director within two business days of the Partnering Site learning of the violation</w:t>
            </w:r>
          </w:p>
        </w:tc>
        <w:tc>
          <w:tcPr>
            <w:tcW w:w="1190" w:type="pct"/>
          </w:tcPr>
          <w:p w14:paraId="309CDBAB" w14:textId="77777777" w:rsidR="003458AE" w:rsidRDefault="003458AE" w:rsidP="00BD298D"/>
        </w:tc>
        <w:tc>
          <w:tcPr>
            <w:tcW w:w="1727" w:type="pct"/>
          </w:tcPr>
          <w:p w14:paraId="0CA3EB4B" w14:textId="77777777" w:rsidR="003458AE" w:rsidRDefault="003458AE" w:rsidP="00BD298D"/>
        </w:tc>
      </w:tr>
      <w:tr w:rsidR="0092058F" w14:paraId="7AF68405" w14:textId="77777777" w:rsidTr="005770F9">
        <w:trPr>
          <w:trHeight w:val="218"/>
        </w:trPr>
        <w:tc>
          <w:tcPr>
            <w:tcW w:w="2083" w:type="pct"/>
          </w:tcPr>
          <w:p w14:paraId="05718C17" w14:textId="6BF3E4AA" w:rsidR="0092058F" w:rsidRPr="005770F9" w:rsidRDefault="009475C2" w:rsidP="0092058F">
            <w:pPr>
              <w:rPr>
                <w:b/>
                <w:sz w:val="22"/>
                <w:szCs w:val="22"/>
              </w:rPr>
            </w:pPr>
            <w:r>
              <w:rPr>
                <w:b/>
                <w:sz w:val="22"/>
                <w:szCs w:val="22"/>
              </w:rPr>
              <w:t># of HIPPA violations</w:t>
            </w:r>
          </w:p>
        </w:tc>
        <w:tc>
          <w:tcPr>
            <w:tcW w:w="1190" w:type="pct"/>
          </w:tcPr>
          <w:p w14:paraId="701813D0" w14:textId="77777777" w:rsidR="0092058F" w:rsidRDefault="0092058F" w:rsidP="0092058F"/>
        </w:tc>
        <w:tc>
          <w:tcPr>
            <w:tcW w:w="1727" w:type="pct"/>
          </w:tcPr>
          <w:p w14:paraId="66BCFB03" w14:textId="326E8171" w:rsidR="0092058F" w:rsidRDefault="0092058F" w:rsidP="0092058F"/>
        </w:tc>
      </w:tr>
    </w:tbl>
    <w:p w14:paraId="53789B5F" w14:textId="77777777" w:rsidR="003458AE" w:rsidRDefault="003458AE" w:rsidP="003458AE"/>
    <w:p w14:paraId="093F8272" w14:textId="77777777" w:rsidR="00CC0537" w:rsidRDefault="00CC0537">
      <w:pPr>
        <w:rPr>
          <w:rFonts w:eastAsiaTheme="majorEastAsia" w:cstheme="majorBidi"/>
          <w:b/>
          <w:color w:val="033C61" w:themeColor="accent1" w:themeShade="BF"/>
          <w:sz w:val="32"/>
          <w:szCs w:val="32"/>
        </w:rPr>
      </w:pPr>
      <w:r>
        <w:br w:type="page"/>
      </w:r>
    </w:p>
    <w:p w14:paraId="41757BE9" w14:textId="22144458" w:rsidR="00F40A88" w:rsidRDefault="00F40A88" w:rsidP="00F40A88">
      <w:pPr>
        <w:pStyle w:val="Heading1"/>
      </w:pPr>
      <w:r>
        <w:lastRenderedPageBreak/>
        <w:t>Sample Table of Navigator Performance</w:t>
      </w:r>
    </w:p>
    <w:p w14:paraId="7E8EB81C" w14:textId="3DBD6274" w:rsidR="00C30438" w:rsidRPr="00C30438" w:rsidRDefault="00C30438" w:rsidP="00C30438">
      <w:pPr>
        <w:pStyle w:val="Heading1"/>
        <w:spacing w:before="0"/>
        <w:rPr>
          <w:color w:val="23B4E1" w:themeColor="accent5" w:themeShade="BF"/>
          <w:sz w:val="22"/>
        </w:rPr>
      </w:pPr>
      <w:r>
        <w:rPr>
          <w:color w:val="23B4E1" w:themeColor="accent5" w:themeShade="BF"/>
          <w:sz w:val="22"/>
        </w:rPr>
        <w:t>*</w:t>
      </w:r>
      <w:r w:rsidRPr="00C30438">
        <w:rPr>
          <w:color w:val="23B4E1" w:themeColor="accent5" w:themeShade="BF"/>
          <w:sz w:val="22"/>
        </w:rPr>
        <w:t>Light Blue background = Navigator KPI</w:t>
      </w:r>
    </w:p>
    <w:tbl>
      <w:tblPr>
        <w:tblStyle w:val="ListTable3-Accent1"/>
        <w:tblW w:w="5000" w:type="pct"/>
        <w:tblBorders>
          <w:insideH w:val="single" w:sz="4" w:space="0" w:color="045182" w:themeColor="accent1"/>
          <w:insideV w:val="single" w:sz="4" w:space="0" w:color="045182" w:themeColor="accent1"/>
        </w:tblBorders>
        <w:tblLook w:val="0420" w:firstRow="1" w:lastRow="0" w:firstColumn="0" w:lastColumn="0" w:noHBand="0" w:noVBand="1"/>
      </w:tblPr>
      <w:tblGrid>
        <w:gridCol w:w="2368"/>
        <w:gridCol w:w="2392"/>
        <w:gridCol w:w="1849"/>
        <w:gridCol w:w="2741"/>
      </w:tblGrid>
      <w:tr w:rsidR="00F40A88" w:rsidRPr="00075DA7" w14:paraId="14A5F9BA" w14:textId="77777777" w:rsidTr="5B30784D">
        <w:trPr>
          <w:cnfStyle w:val="100000000000" w:firstRow="1" w:lastRow="0" w:firstColumn="0" w:lastColumn="0" w:oddVBand="0" w:evenVBand="0" w:oddHBand="0" w:evenHBand="0" w:firstRowFirstColumn="0" w:firstRowLastColumn="0" w:lastRowFirstColumn="0" w:lastRowLastColumn="0"/>
        </w:trPr>
        <w:tc>
          <w:tcPr>
            <w:tcW w:w="1266" w:type="pct"/>
          </w:tcPr>
          <w:p w14:paraId="375B9D62" w14:textId="77777777" w:rsidR="00F40A88" w:rsidRPr="00075DA7" w:rsidRDefault="00F40A88" w:rsidP="00BD298D">
            <w:pPr>
              <w:rPr>
                <w:rFonts w:eastAsia="Times New Roman" w:cs="Cordia New"/>
                <w:sz w:val="20"/>
                <w:szCs w:val="22"/>
              </w:rPr>
            </w:pPr>
            <w:r w:rsidRPr="00075DA7">
              <w:rPr>
                <w:rFonts w:eastAsia="Times New Roman" w:cs="Cordia New"/>
                <w:sz w:val="20"/>
                <w:szCs w:val="22"/>
              </w:rPr>
              <w:t>Performance Standard</w:t>
            </w:r>
          </w:p>
        </w:tc>
        <w:tc>
          <w:tcPr>
            <w:tcW w:w="1279" w:type="pct"/>
          </w:tcPr>
          <w:p w14:paraId="50B1828E" w14:textId="07CC2140" w:rsidR="00F40A88" w:rsidRPr="00075DA7" w:rsidRDefault="00F40A88" w:rsidP="00BD298D">
            <w:pPr>
              <w:rPr>
                <w:sz w:val="20"/>
                <w:szCs w:val="22"/>
              </w:rPr>
            </w:pPr>
            <w:r w:rsidRPr="00075DA7">
              <w:rPr>
                <w:rFonts w:eastAsia="Times New Roman" w:cs="Cordia New"/>
                <w:sz w:val="20"/>
                <w:szCs w:val="22"/>
              </w:rPr>
              <w:t>Individual Navigator</w:t>
            </w:r>
          </w:p>
        </w:tc>
        <w:tc>
          <w:tcPr>
            <w:tcW w:w="989" w:type="pct"/>
          </w:tcPr>
          <w:p w14:paraId="44EA6624" w14:textId="6E3A08DF" w:rsidR="00F40A88" w:rsidRPr="00075DA7" w:rsidRDefault="00F40A88" w:rsidP="00BD298D">
            <w:pPr>
              <w:rPr>
                <w:sz w:val="20"/>
                <w:szCs w:val="22"/>
              </w:rPr>
            </w:pPr>
            <w:r w:rsidRPr="00075DA7">
              <w:rPr>
                <w:rFonts w:eastAsia="Times New Roman" w:cs="Cordia New"/>
                <w:sz w:val="20"/>
                <w:szCs w:val="22"/>
              </w:rPr>
              <w:t>Site Average</w:t>
            </w:r>
          </w:p>
        </w:tc>
        <w:tc>
          <w:tcPr>
            <w:tcW w:w="1466" w:type="pct"/>
          </w:tcPr>
          <w:p w14:paraId="6F5D43C6" w14:textId="40F2714C" w:rsidR="00F40A88" w:rsidRPr="00075DA7" w:rsidRDefault="00F40A88" w:rsidP="00BD298D">
            <w:pPr>
              <w:rPr>
                <w:sz w:val="20"/>
                <w:szCs w:val="22"/>
              </w:rPr>
            </w:pPr>
            <w:r w:rsidRPr="00075DA7">
              <w:rPr>
                <w:rFonts w:eastAsia="Times New Roman" w:cs="Cordia New"/>
                <w:sz w:val="20"/>
                <w:szCs w:val="22"/>
              </w:rPr>
              <w:t>Statewide Average</w:t>
            </w:r>
          </w:p>
        </w:tc>
      </w:tr>
      <w:tr w:rsidR="00F40A88" w:rsidRPr="00075DA7" w14:paraId="058D3792" w14:textId="77777777" w:rsidTr="00C30438">
        <w:trPr>
          <w:cnfStyle w:val="000000100000" w:firstRow="0" w:lastRow="0" w:firstColumn="0" w:lastColumn="0" w:oddVBand="0" w:evenVBand="0" w:oddHBand="1" w:evenHBand="0" w:firstRowFirstColumn="0" w:firstRowLastColumn="0" w:lastRowFirstColumn="0" w:lastRowLastColumn="0"/>
        </w:trPr>
        <w:tc>
          <w:tcPr>
            <w:tcW w:w="1266" w:type="pct"/>
            <w:tcBorders>
              <w:top w:val="none" w:sz="0" w:space="0" w:color="auto"/>
              <w:bottom w:val="none" w:sz="0" w:space="0" w:color="auto"/>
            </w:tcBorders>
            <w:shd w:val="clear" w:color="auto" w:fill="C7EFFF" w:themeFill="accent2" w:themeFillTint="33"/>
          </w:tcPr>
          <w:p w14:paraId="3E6A1B74" w14:textId="6F5D3692" w:rsidR="00F40A88" w:rsidRPr="00075DA7" w:rsidRDefault="00F40A88" w:rsidP="00C30438">
            <w:pPr>
              <w:rPr>
                <w:rFonts w:eastAsia="Times New Roman" w:cs="Cordia New"/>
                <w:color w:val="000000" w:themeColor="text1"/>
                <w:sz w:val="20"/>
                <w:szCs w:val="22"/>
              </w:rPr>
            </w:pPr>
            <w:r w:rsidRPr="00075DA7">
              <w:rPr>
                <w:rFonts w:eastAsia="Times New Roman" w:cs="Cordia New"/>
                <w:b/>
                <w:color w:val="000000" w:themeColor="text1"/>
                <w:sz w:val="20"/>
                <w:szCs w:val="22"/>
              </w:rPr>
              <w:t>BASICS Completion</w:t>
            </w:r>
            <w:r w:rsidRPr="00075DA7">
              <w:rPr>
                <w:rFonts w:eastAsia="Times New Roman" w:cs="Cordia New"/>
                <w:color w:val="000000" w:themeColor="text1"/>
                <w:sz w:val="20"/>
                <w:szCs w:val="22"/>
              </w:rPr>
              <w:t xml:space="preserve"> </w:t>
            </w:r>
            <w:r w:rsidR="00C30438" w:rsidRPr="00075DA7">
              <w:rPr>
                <w:rFonts w:eastAsia="Times New Roman" w:cs="Cordia New"/>
                <w:color w:val="000000" w:themeColor="text1"/>
                <w:sz w:val="20"/>
                <w:szCs w:val="22"/>
              </w:rPr>
              <w:t>–</w:t>
            </w:r>
            <w:r w:rsidRPr="00075DA7">
              <w:rPr>
                <w:rFonts w:eastAsia="Times New Roman" w:cs="Cordia New"/>
                <w:color w:val="000000" w:themeColor="text1"/>
                <w:sz w:val="20"/>
                <w:szCs w:val="22"/>
              </w:rPr>
              <w:t xml:space="preserve"> </w:t>
            </w:r>
            <w:r w:rsidR="00DC441D">
              <w:rPr>
                <w:rFonts w:eastAsia="Times New Roman" w:cs="Cordia New"/>
                <w:color w:val="000000" w:themeColor="text1"/>
                <w:sz w:val="20"/>
                <w:szCs w:val="22"/>
              </w:rPr>
              <w:t>97</w:t>
            </w:r>
            <w:r w:rsidR="00C30438" w:rsidRPr="00075DA7">
              <w:rPr>
                <w:rFonts w:eastAsia="Times New Roman" w:cs="Cordia New"/>
                <w:color w:val="000000" w:themeColor="text1"/>
                <w:sz w:val="20"/>
                <w:szCs w:val="22"/>
              </w:rPr>
              <w:t>% completion of BASICS with notes that document families’ strengths and specific areas of need</w:t>
            </w:r>
          </w:p>
        </w:tc>
        <w:tc>
          <w:tcPr>
            <w:tcW w:w="1279" w:type="pct"/>
            <w:tcBorders>
              <w:top w:val="none" w:sz="0" w:space="0" w:color="auto"/>
              <w:bottom w:val="none" w:sz="0" w:space="0" w:color="auto"/>
            </w:tcBorders>
            <w:shd w:val="clear" w:color="auto" w:fill="C7EFFF" w:themeFill="accent2" w:themeFillTint="33"/>
          </w:tcPr>
          <w:p w14:paraId="07AC048A" w14:textId="7BD26B77" w:rsidR="00F40A88" w:rsidRPr="00075DA7" w:rsidRDefault="00F40A88" w:rsidP="00BD298D">
            <w:pPr>
              <w:rPr>
                <w:sz w:val="20"/>
                <w:szCs w:val="22"/>
              </w:rPr>
            </w:pPr>
          </w:p>
        </w:tc>
        <w:tc>
          <w:tcPr>
            <w:tcW w:w="989" w:type="pct"/>
            <w:tcBorders>
              <w:top w:val="none" w:sz="0" w:space="0" w:color="auto"/>
              <w:bottom w:val="none" w:sz="0" w:space="0" w:color="auto"/>
            </w:tcBorders>
            <w:shd w:val="clear" w:color="auto" w:fill="C7EFFF" w:themeFill="accent2" w:themeFillTint="33"/>
          </w:tcPr>
          <w:p w14:paraId="6D36DBFA" w14:textId="77F7E328" w:rsidR="00F40A88" w:rsidRPr="00075DA7" w:rsidRDefault="00F40A88" w:rsidP="00BD298D">
            <w:pPr>
              <w:rPr>
                <w:sz w:val="20"/>
                <w:szCs w:val="22"/>
              </w:rPr>
            </w:pPr>
          </w:p>
        </w:tc>
        <w:tc>
          <w:tcPr>
            <w:tcW w:w="1466" w:type="pct"/>
            <w:tcBorders>
              <w:top w:val="none" w:sz="0" w:space="0" w:color="auto"/>
              <w:bottom w:val="none" w:sz="0" w:space="0" w:color="auto"/>
            </w:tcBorders>
            <w:shd w:val="clear" w:color="auto" w:fill="C7EFFF" w:themeFill="accent2" w:themeFillTint="33"/>
          </w:tcPr>
          <w:p w14:paraId="1A5B9924" w14:textId="77777777" w:rsidR="00F40A88" w:rsidRPr="00075DA7" w:rsidRDefault="00F40A88" w:rsidP="00BD298D">
            <w:pPr>
              <w:rPr>
                <w:sz w:val="20"/>
                <w:szCs w:val="22"/>
              </w:rPr>
            </w:pPr>
          </w:p>
        </w:tc>
      </w:tr>
      <w:tr w:rsidR="00C30438" w:rsidRPr="00075DA7" w14:paraId="0748DF64" w14:textId="77777777" w:rsidTr="00C30438">
        <w:tc>
          <w:tcPr>
            <w:tcW w:w="1266" w:type="pct"/>
            <w:shd w:val="clear" w:color="auto" w:fill="C7EFFF" w:themeFill="accent2" w:themeFillTint="33"/>
          </w:tcPr>
          <w:p w14:paraId="626DC83A" w14:textId="2DE062E2" w:rsidR="00C30438" w:rsidRPr="00075DA7" w:rsidRDefault="00C30438" w:rsidP="00C30438">
            <w:pPr>
              <w:rPr>
                <w:rFonts w:eastAsia="Times New Roman" w:cs="Cordia New"/>
                <w:b/>
                <w:color w:val="000000" w:themeColor="text1"/>
                <w:sz w:val="20"/>
                <w:szCs w:val="22"/>
              </w:rPr>
            </w:pPr>
            <w:r w:rsidRPr="00075DA7">
              <w:rPr>
                <w:rFonts w:eastAsia="Times New Roman" w:cs="Cordia New"/>
                <w:b/>
                <w:color w:val="000000" w:themeColor="text1"/>
                <w:sz w:val="20"/>
                <w:szCs w:val="22"/>
              </w:rPr>
              <w:t xml:space="preserve">Demographics Completion - </w:t>
            </w:r>
            <w:r w:rsidR="00DC441D">
              <w:rPr>
                <w:rFonts w:eastAsia="Times New Roman" w:cs="Cordia New"/>
                <w:color w:val="000000" w:themeColor="text1"/>
                <w:sz w:val="20"/>
                <w:szCs w:val="22"/>
              </w:rPr>
              <w:t>97</w:t>
            </w:r>
            <w:r w:rsidRPr="00075DA7">
              <w:rPr>
                <w:rFonts w:eastAsia="Times New Roman" w:cs="Cordia New"/>
                <w:color w:val="000000" w:themeColor="text1"/>
                <w:sz w:val="20"/>
                <w:szCs w:val="22"/>
              </w:rPr>
              <w:t>% completion of demographics</w:t>
            </w:r>
          </w:p>
        </w:tc>
        <w:tc>
          <w:tcPr>
            <w:tcW w:w="1279" w:type="pct"/>
            <w:shd w:val="clear" w:color="auto" w:fill="C7EFFF" w:themeFill="accent2" w:themeFillTint="33"/>
          </w:tcPr>
          <w:p w14:paraId="28A7498A" w14:textId="77777777" w:rsidR="00C30438" w:rsidRPr="00075DA7" w:rsidRDefault="00C30438" w:rsidP="00BD298D">
            <w:pPr>
              <w:rPr>
                <w:sz w:val="20"/>
                <w:szCs w:val="22"/>
              </w:rPr>
            </w:pPr>
          </w:p>
        </w:tc>
        <w:tc>
          <w:tcPr>
            <w:tcW w:w="989" w:type="pct"/>
            <w:shd w:val="clear" w:color="auto" w:fill="C7EFFF" w:themeFill="accent2" w:themeFillTint="33"/>
          </w:tcPr>
          <w:p w14:paraId="34BCFF43" w14:textId="77777777" w:rsidR="00C30438" w:rsidRPr="00075DA7" w:rsidRDefault="00C30438" w:rsidP="00BD298D">
            <w:pPr>
              <w:rPr>
                <w:sz w:val="20"/>
                <w:szCs w:val="22"/>
              </w:rPr>
            </w:pPr>
          </w:p>
        </w:tc>
        <w:tc>
          <w:tcPr>
            <w:tcW w:w="1466" w:type="pct"/>
            <w:shd w:val="clear" w:color="auto" w:fill="C7EFFF" w:themeFill="accent2" w:themeFillTint="33"/>
          </w:tcPr>
          <w:p w14:paraId="519975CB" w14:textId="77777777" w:rsidR="00C30438" w:rsidRPr="00075DA7" w:rsidRDefault="00C30438" w:rsidP="00BD298D">
            <w:pPr>
              <w:rPr>
                <w:sz w:val="20"/>
                <w:szCs w:val="22"/>
              </w:rPr>
            </w:pPr>
          </w:p>
        </w:tc>
      </w:tr>
      <w:tr w:rsidR="00F40A88" w:rsidRPr="00075DA7" w14:paraId="2D2A7924" w14:textId="77777777" w:rsidTr="5B30784D">
        <w:trPr>
          <w:cnfStyle w:val="000000100000" w:firstRow="0" w:lastRow="0" w:firstColumn="0" w:lastColumn="0" w:oddVBand="0" w:evenVBand="0" w:oddHBand="1" w:evenHBand="0" w:firstRowFirstColumn="0" w:firstRowLastColumn="0" w:lastRowFirstColumn="0" w:lastRowLastColumn="0"/>
        </w:trPr>
        <w:tc>
          <w:tcPr>
            <w:tcW w:w="1266" w:type="pct"/>
          </w:tcPr>
          <w:p w14:paraId="1599992F" w14:textId="6E1641DE" w:rsidR="00F40A88" w:rsidRPr="00075DA7" w:rsidRDefault="00F40A88" w:rsidP="00BD298D">
            <w:pPr>
              <w:rPr>
                <w:rFonts w:eastAsia="Times New Roman" w:cs="Cordia New"/>
                <w:color w:val="000000" w:themeColor="text1"/>
                <w:sz w:val="20"/>
                <w:szCs w:val="22"/>
              </w:rPr>
            </w:pPr>
            <w:r w:rsidRPr="00075DA7">
              <w:rPr>
                <w:rFonts w:eastAsia="Times New Roman" w:cs="Cordia New"/>
                <w:b/>
                <w:color w:val="000000" w:themeColor="text1"/>
                <w:sz w:val="20"/>
                <w:szCs w:val="22"/>
              </w:rPr>
              <w:t>CASP Completion</w:t>
            </w:r>
            <w:r w:rsidRPr="00075DA7">
              <w:rPr>
                <w:rFonts w:eastAsia="Times New Roman" w:cs="Cordia New"/>
                <w:color w:val="000000" w:themeColor="text1"/>
                <w:sz w:val="20"/>
                <w:szCs w:val="22"/>
              </w:rPr>
              <w:t xml:space="preserve"> - The CASP </w:t>
            </w:r>
            <w:r w:rsidR="00244BD4">
              <w:rPr>
                <w:rFonts w:eastAsia="Times New Roman" w:cs="Cordia New"/>
                <w:color w:val="000000" w:themeColor="text1"/>
                <w:sz w:val="20"/>
                <w:szCs w:val="22"/>
              </w:rPr>
              <w:t>Assessment is completed with 97</w:t>
            </w:r>
            <w:r w:rsidRPr="00075DA7">
              <w:rPr>
                <w:rFonts w:eastAsia="Times New Roman" w:cs="Cordia New"/>
                <w:color w:val="000000" w:themeColor="text1"/>
                <w:sz w:val="20"/>
                <w:szCs w:val="22"/>
              </w:rPr>
              <w:t>% of families who have been referred to Collaborate Services</w:t>
            </w:r>
            <w:r w:rsidR="00C30438" w:rsidRPr="00075DA7">
              <w:rPr>
                <w:rFonts w:eastAsia="Times New Roman" w:cs="Cordia New"/>
                <w:color w:val="000000" w:themeColor="text1"/>
                <w:sz w:val="20"/>
                <w:szCs w:val="22"/>
              </w:rPr>
              <w:t xml:space="preserve"> (C1 only)</w:t>
            </w:r>
          </w:p>
        </w:tc>
        <w:tc>
          <w:tcPr>
            <w:tcW w:w="1279" w:type="pct"/>
          </w:tcPr>
          <w:p w14:paraId="40965BF1" w14:textId="02D0DA14" w:rsidR="00F40A88" w:rsidRPr="00075DA7" w:rsidRDefault="00F40A88" w:rsidP="00BD298D">
            <w:pPr>
              <w:rPr>
                <w:sz w:val="20"/>
                <w:szCs w:val="22"/>
              </w:rPr>
            </w:pPr>
          </w:p>
        </w:tc>
        <w:tc>
          <w:tcPr>
            <w:tcW w:w="989" w:type="pct"/>
          </w:tcPr>
          <w:p w14:paraId="63520B68" w14:textId="1FF13026" w:rsidR="00F40A88" w:rsidRPr="00075DA7" w:rsidRDefault="00F40A88" w:rsidP="00BD298D">
            <w:pPr>
              <w:rPr>
                <w:sz w:val="20"/>
                <w:szCs w:val="22"/>
              </w:rPr>
            </w:pPr>
          </w:p>
        </w:tc>
        <w:tc>
          <w:tcPr>
            <w:tcW w:w="1466" w:type="pct"/>
          </w:tcPr>
          <w:p w14:paraId="5D8C9355" w14:textId="6E99DE47" w:rsidR="00F40A88" w:rsidRPr="00075DA7" w:rsidRDefault="00F40A88" w:rsidP="00BD298D">
            <w:pPr>
              <w:rPr>
                <w:sz w:val="20"/>
                <w:szCs w:val="22"/>
              </w:rPr>
            </w:pPr>
          </w:p>
        </w:tc>
      </w:tr>
      <w:tr w:rsidR="00F40A88" w:rsidRPr="00075DA7" w14:paraId="612F9A43" w14:textId="77777777" w:rsidTr="5B30784D">
        <w:tc>
          <w:tcPr>
            <w:tcW w:w="1266" w:type="pct"/>
          </w:tcPr>
          <w:p w14:paraId="51762023" w14:textId="0575CA34" w:rsidR="00F40A88" w:rsidRPr="00075DA7" w:rsidRDefault="00F40A88" w:rsidP="00DC441D">
            <w:pPr>
              <w:rPr>
                <w:rFonts w:eastAsia="Times New Roman" w:cs="Cordia New"/>
                <w:color w:val="000000" w:themeColor="text1"/>
                <w:sz w:val="20"/>
                <w:szCs w:val="22"/>
              </w:rPr>
            </w:pPr>
            <w:r w:rsidRPr="00075DA7">
              <w:rPr>
                <w:rFonts w:eastAsia="Times New Roman" w:cs="Cordia New"/>
                <w:b/>
                <w:color w:val="000000" w:themeColor="text1"/>
                <w:sz w:val="20"/>
                <w:szCs w:val="22"/>
              </w:rPr>
              <w:t>Referral Follow Up Completion</w:t>
            </w:r>
            <w:r w:rsidRPr="00075DA7">
              <w:rPr>
                <w:rFonts w:eastAsia="Times New Roman" w:cs="Cordia New"/>
                <w:color w:val="000000" w:themeColor="text1"/>
                <w:sz w:val="20"/>
                <w:szCs w:val="22"/>
              </w:rPr>
              <w:t xml:space="preserve"> - Referral</w:t>
            </w:r>
            <w:r w:rsidR="00DC441D">
              <w:rPr>
                <w:rFonts w:eastAsia="Times New Roman" w:cs="Cordia New"/>
                <w:color w:val="000000" w:themeColor="text1"/>
                <w:sz w:val="20"/>
                <w:szCs w:val="22"/>
              </w:rPr>
              <w:t xml:space="preserve"> follow up is contacts or contact attempts </w:t>
            </w:r>
            <w:r w:rsidR="00244BD4">
              <w:rPr>
                <w:rFonts w:eastAsia="Times New Roman" w:cs="Cordia New"/>
                <w:color w:val="000000" w:themeColor="text1"/>
                <w:sz w:val="20"/>
                <w:szCs w:val="22"/>
              </w:rPr>
              <w:t>completed with 97</w:t>
            </w:r>
            <w:r w:rsidRPr="00075DA7">
              <w:rPr>
                <w:rFonts w:eastAsia="Times New Roman" w:cs="Cordia New"/>
                <w:color w:val="000000" w:themeColor="text1"/>
                <w:sz w:val="20"/>
                <w:szCs w:val="22"/>
              </w:rPr>
              <w:t>% of families receiving Connect services</w:t>
            </w:r>
          </w:p>
        </w:tc>
        <w:tc>
          <w:tcPr>
            <w:tcW w:w="1279" w:type="pct"/>
          </w:tcPr>
          <w:p w14:paraId="3BBBB230" w14:textId="2B4AB665" w:rsidR="00F40A88" w:rsidRPr="00075DA7" w:rsidRDefault="00F40A88" w:rsidP="00BD298D">
            <w:pPr>
              <w:rPr>
                <w:sz w:val="20"/>
                <w:szCs w:val="22"/>
              </w:rPr>
            </w:pPr>
          </w:p>
        </w:tc>
        <w:tc>
          <w:tcPr>
            <w:tcW w:w="989" w:type="pct"/>
          </w:tcPr>
          <w:p w14:paraId="2AAF9C41" w14:textId="084DC9FD" w:rsidR="00F40A88" w:rsidRPr="00075DA7" w:rsidRDefault="00F40A88" w:rsidP="00BD298D">
            <w:pPr>
              <w:rPr>
                <w:sz w:val="20"/>
                <w:szCs w:val="22"/>
              </w:rPr>
            </w:pPr>
          </w:p>
        </w:tc>
        <w:tc>
          <w:tcPr>
            <w:tcW w:w="1466" w:type="pct"/>
          </w:tcPr>
          <w:p w14:paraId="2E0A21A9" w14:textId="5394A369" w:rsidR="00F40A88" w:rsidRPr="00075DA7" w:rsidRDefault="00F40A88" w:rsidP="00BD298D">
            <w:pPr>
              <w:rPr>
                <w:sz w:val="20"/>
                <w:szCs w:val="22"/>
              </w:rPr>
            </w:pPr>
          </w:p>
        </w:tc>
      </w:tr>
      <w:tr w:rsidR="00F40A88" w:rsidRPr="00075DA7" w14:paraId="4E04C013" w14:textId="77777777" w:rsidTr="5B30784D">
        <w:trPr>
          <w:cnfStyle w:val="000000100000" w:firstRow="0" w:lastRow="0" w:firstColumn="0" w:lastColumn="0" w:oddVBand="0" w:evenVBand="0" w:oddHBand="1" w:evenHBand="0" w:firstRowFirstColumn="0" w:firstRowLastColumn="0" w:lastRowFirstColumn="0" w:lastRowLastColumn="0"/>
        </w:trPr>
        <w:tc>
          <w:tcPr>
            <w:tcW w:w="1266" w:type="pct"/>
          </w:tcPr>
          <w:p w14:paraId="53D5FA03" w14:textId="1D06FFC9" w:rsidR="00F40A88" w:rsidRPr="00075DA7" w:rsidRDefault="00F40A88" w:rsidP="00BD298D">
            <w:pPr>
              <w:rPr>
                <w:rFonts w:eastAsia="Times New Roman" w:cs="Cordia New"/>
                <w:color w:val="000000" w:themeColor="text1"/>
                <w:sz w:val="20"/>
                <w:szCs w:val="22"/>
              </w:rPr>
            </w:pPr>
            <w:r w:rsidRPr="00075DA7">
              <w:rPr>
                <w:rFonts w:eastAsia="Times New Roman" w:cs="Cordia New"/>
                <w:b/>
                <w:color w:val="000000" w:themeColor="text1"/>
                <w:sz w:val="20"/>
                <w:szCs w:val="22"/>
              </w:rPr>
              <w:t>Collaborate service frequency</w:t>
            </w:r>
            <w:r w:rsidR="00244BD4">
              <w:rPr>
                <w:rFonts w:eastAsia="Times New Roman" w:cs="Cordia New"/>
                <w:color w:val="000000" w:themeColor="text1"/>
                <w:sz w:val="20"/>
                <w:szCs w:val="22"/>
              </w:rPr>
              <w:t xml:space="preserve"> – 97</w:t>
            </w:r>
            <w:r w:rsidRPr="00075DA7">
              <w:rPr>
                <w:rFonts w:eastAsia="Times New Roman" w:cs="Cordia New"/>
                <w:color w:val="000000" w:themeColor="text1"/>
                <w:sz w:val="20"/>
                <w:szCs w:val="22"/>
              </w:rPr>
              <w:t>% of open collaborate cases should be receiving their desired frequency of contacts</w:t>
            </w:r>
            <w:r w:rsidR="00075DA7">
              <w:rPr>
                <w:rFonts w:eastAsia="Times New Roman" w:cs="Cordia New"/>
                <w:color w:val="000000" w:themeColor="text1"/>
                <w:sz w:val="20"/>
                <w:szCs w:val="22"/>
              </w:rPr>
              <w:t xml:space="preserve"> </w:t>
            </w:r>
            <w:r w:rsidR="00DC441D">
              <w:rPr>
                <w:rFonts w:eastAsia="Times New Roman" w:cs="Cordia New"/>
                <w:color w:val="000000" w:themeColor="text1"/>
                <w:sz w:val="20"/>
                <w:szCs w:val="22"/>
              </w:rPr>
              <w:t xml:space="preserve">or contact attempts </w:t>
            </w:r>
            <w:r w:rsidR="00075DA7">
              <w:rPr>
                <w:rFonts w:eastAsia="Times New Roman" w:cs="Cordia New"/>
                <w:color w:val="000000" w:themeColor="text1"/>
                <w:sz w:val="20"/>
                <w:szCs w:val="22"/>
              </w:rPr>
              <w:t>(C1 only)</w:t>
            </w:r>
          </w:p>
        </w:tc>
        <w:tc>
          <w:tcPr>
            <w:tcW w:w="1279" w:type="pct"/>
          </w:tcPr>
          <w:p w14:paraId="39E92D41" w14:textId="77777777" w:rsidR="00F40A88" w:rsidRPr="00075DA7" w:rsidRDefault="00F40A88" w:rsidP="00BD298D">
            <w:pPr>
              <w:rPr>
                <w:sz w:val="20"/>
                <w:szCs w:val="22"/>
              </w:rPr>
            </w:pPr>
          </w:p>
        </w:tc>
        <w:tc>
          <w:tcPr>
            <w:tcW w:w="989" w:type="pct"/>
          </w:tcPr>
          <w:p w14:paraId="4179F925" w14:textId="450566FF" w:rsidR="00F40A88" w:rsidRPr="00075DA7" w:rsidRDefault="00F40A88" w:rsidP="00BD298D">
            <w:pPr>
              <w:rPr>
                <w:sz w:val="20"/>
                <w:szCs w:val="22"/>
              </w:rPr>
            </w:pPr>
          </w:p>
        </w:tc>
        <w:tc>
          <w:tcPr>
            <w:tcW w:w="1466" w:type="pct"/>
          </w:tcPr>
          <w:p w14:paraId="678BF744" w14:textId="2A20BD28" w:rsidR="00F40A88" w:rsidRPr="00075DA7" w:rsidRDefault="00F40A88" w:rsidP="00BD298D">
            <w:pPr>
              <w:rPr>
                <w:sz w:val="20"/>
                <w:szCs w:val="22"/>
              </w:rPr>
            </w:pPr>
          </w:p>
        </w:tc>
      </w:tr>
      <w:tr w:rsidR="00F40A88" w:rsidRPr="00075DA7" w14:paraId="36190820" w14:textId="77777777" w:rsidTr="5B30784D">
        <w:tc>
          <w:tcPr>
            <w:tcW w:w="1266" w:type="pct"/>
          </w:tcPr>
          <w:p w14:paraId="27497B6F" w14:textId="6F518709" w:rsidR="00F40A88" w:rsidRPr="00075DA7" w:rsidRDefault="00F40A88" w:rsidP="00BD298D">
            <w:pPr>
              <w:rPr>
                <w:rFonts w:eastAsia="Times New Roman" w:cs="Cordia New"/>
                <w:color w:val="000000" w:themeColor="text1"/>
                <w:sz w:val="20"/>
                <w:szCs w:val="22"/>
              </w:rPr>
            </w:pPr>
            <w:r w:rsidRPr="00075DA7">
              <w:rPr>
                <w:rFonts w:eastAsia="Times New Roman" w:cs="Cordia New"/>
                <w:b/>
                <w:bCs/>
                <w:color w:val="000000" w:themeColor="text1"/>
                <w:sz w:val="20"/>
                <w:szCs w:val="22"/>
              </w:rPr>
              <w:t>R</w:t>
            </w:r>
            <w:r w:rsidR="00DC441D">
              <w:rPr>
                <w:rFonts w:eastAsia="Times New Roman" w:cs="Cordia New"/>
                <w:b/>
                <w:bCs/>
                <w:color w:val="000000" w:themeColor="text1"/>
                <w:sz w:val="20"/>
                <w:szCs w:val="22"/>
              </w:rPr>
              <w:t xml:space="preserve">eferrals Provided </w:t>
            </w:r>
            <w:r w:rsidR="00244BD4">
              <w:rPr>
                <w:rFonts w:eastAsia="Times New Roman" w:cs="Cordia New"/>
                <w:color w:val="000000" w:themeColor="text1"/>
                <w:sz w:val="20"/>
                <w:szCs w:val="22"/>
              </w:rPr>
              <w:t>– 97</w:t>
            </w:r>
            <w:r w:rsidRPr="00075DA7">
              <w:rPr>
                <w:rFonts w:eastAsia="Times New Roman" w:cs="Cordia New"/>
                <w:color w:val="000000" w:themeColor="text1"/>
                <w:sz w:val="20"/>
                <w:szCs w:val="22"/>
              </w:rPr>
              <w:t>% of parents/caregivers who comp</w:t>
            </w:r>
            <w:r w:rsidR="00DC441D">
              <w:rPr>
                <w:rFonts w:eastAsia="Times New Roman" w:cs="Cordia New"/>
                <w:color w:val="000000" w:themeColor="text1"/>
                <w:sz w:val="20"/>
                <w:szCs w:val="22"/>
              </w:rPr>
              <w:t>lete a BASICS are provided with</w:t>
            </w:r>
            <w:r w:rsidRPr="00075DA7">
              <w:rPr>
                <w:rFonts w:eastAsia="Times New Roman" w:cs="Cordia New"/>
                <w:color w:val="000000" w:themeColor="text1"/>
                <w:sz w:val="20"/>
                <w:szCs w:val="22"/>
              </w:rPr>
              <w:t xml:space="preserve"> a referral packet</w:t>
            </w:r>
          </w:p>
        </w:tc>
        <w:tc>
          <w:tcPr>
            <w:tcW w:w="1279" w:type="pct"/>
          </w:tcPr>
          <w:p w14:paraId="491125B1" w14:textId="571AE43D" w:rsidR="00F40A88" w:rsidRPr="00075DA7" w:rsidRDefault="00F40A88" w:rsidP="00BD298D">
            <w:pPr>
              <w:rPr>
                <w:sz w:val="20"/>
                <w:szCs w:val="22"/>
              </w:rPr>
            </w:pPr>
          </w:p>
        </w:tc>
        <w:tc>
          <w:tcPr>
            <w:tcW w:w="989" w:type="pct"/>
          </w:tcPr>
          <w:p w14:paraId="31DFE55F" w14:textId="08B9B329" w:rsidR="00F40A88" w:rsidRPr="00075DA7" w:rsidRDefault="00F40A88" w:rsidP="00BD298D">
            <w:pPr>
              <w:rPr>
                <w:sz w:val="20"/>
                <w:szCs w:val="22"/>
              </w:rPr>
            </w:pPr>
          </w:p>
        </w:tc>
        <w:tc>
          <w:tcPr>
            <w:tcW w:w="1466" w:type="pct"/>
          </w:tcPr>
          <w:p w14:paraId="756F40D4" w14:textId="57B9A9F3" w:rsidR="00F40A88" w:rsidRPr="00075DA7" w:rsidRDefault="00F40A88" w:rsidP="00BD298D">
            <w:pPr>
              <w:rPr>
                <w:sz w:val="20"/>
                <w:szCs w:val="22"/>
              </w:rPr>
            </w:pPr>
          </w:p>
        </w:tc>
      </w:tr>
      <w:tr w:rsidR="00075DA7" w:rsidRPr="00075DA7" w14:paraId="1D81757D" w14:textId="77777777" w:rsidTr="00075DA7">
        <w:trPr>
          <w:cnfStyle w:val="000000100000" w:firstRow="0" w:lastRow="0" w:firstColumn="0" w:lastColumn="0" w:oddVBand="0" w:evenVBand="0" w:oddHBand="1" w:evenHBand="0" w:firstRowFirstColumn="0" w:firstRowLastColumn="0" w:lastRowFirstColumn="0" w:lastRowLastColumn="0"/>
        </w:trPr>
        <w:tc>
          <w:tcPr>
            <w:tcW w:w="1266" w:type="pct"/>
            <w:shd w:val="clear" w:color="auto" w:fill="C7EFFF" w:themeFill="accent2" w:themeFillTint="33"/>
          </w:tcPr>
          <w:p w14:paraId="342D88B6" w14:textId="05337668" w:rsidR="00075DA7" w:rsidRPr="00075DA7" w:rsidRDefault="00075DA7" w:rsidP="00BD298D">
            <w:pPr>
              <w:rPr>
                <w:rFonts w:eastAsia="Times New Roman" w:cs="Cordia New"/>
                <w:b/>
                <w:color w:val="000000" w:themeColor="text1"/>
                <w:sz w:val="20"/>
                <w:szCs w:val="22"/>
              </w:rPr>
            </w:pPr>
            <w:r w:rsidRPr="00075DA7">
              <w:rPr>
                <w:rFonts w:eastAsia="Times New Roman" w:cs="Cordia New"/>
                <w:b/>
                <w:color w:val="000000" w:themeColor="text1"/>
                <w:sz w:val="20"/>
                <w:szCs w:val="22"/>
              </w:rPr>
              <w:t xml:space="preserve">Observation Rubric Score – </w:t>
            </w:r>
          </w:p>
          <w:p w14:paraId="3D8D3FED" w14:textId="3F7238A1" w:rsidR="00075DA7" w:rsidRPr="00075DA7" w:rsidRDefault="00EA79C4" w:rsidP="00BD298D">
            <w:pPr>
              <w:rPr>
                <w:rFonts w:eastAsia="Times New Roman" w:cs="Cordia New"/>
                <w:color w:val="000000" w:themeColor="text1"/>
                <w:sz w:val="20"/>
                <w:szCs w:val="22"/>
              </w:rPr>
            </w:pPr>
            <w:r>
              <w:rPr>
                <w:rFonts w:eastAsia="Times New Roman" w:cs="Cordia New"/>
                <w:color w:val="000000" w:themeColor="text1"/>
                <w:sz w:val="20"/>
                <w:szCs w:val="22"/>
              </w:rPr>
              <w:t>3</w:t>
            </w:r>
            <w:r w:rsidR="00075DA7" w:rsidRPr="00075DA7">
              <w:rPr>
                <w:rFonts w:eastAsia="Times New Roman" w:cs="Cordia New"/>
                <w:color w:val="000000" w:themeColor="text1"/>
                <w:sz w:val="20"/>
                <w:szCs w:val="22"/>
              </w:rPr>
              <w:t xml:space="preserve"> or higher for Setting Expectations, Active Listening, Opened Ended Questions and identifying Urgent/Complex needs.</w:t>
            </w:r>
          </w:p>
        </w:tc>
        <w:tc>
          <w:tcPr>
            <w:tcW w:w="1279" w:type="pct"/>
            <w:shd w:val="clear" w:color="auto" w:fill="C7EFFF" w:themeFill="accent2" w:themeFillTint="33"/>
          </w:tcPr>
          <w:p w14:paraId="6EDA3D0A" w14:textId="77777777" w:rsidR="00075DA7" w:rsidRPr="00075DA7" w:rsidRDefault="00075DA7" w:rsidP="00BD298D">
            <w:pPr>
              <w:rPr>
                <w:sz w:val="20"/>
                <w:szCs w:val="22"/>
              </w:rPr>
            </w:pPr>
          </w:p>
        </w:tc>
        <w:tc>
          <w:tcPr>
            <w:tcW w:w="989" w:type="pct"/>
            <w:shd w:val="clear" w:color="auto" w:fill="C7EFFF" w:themeFill="accent2" w:themeFillTint="33"/>
          </w:tcPr>
          <w:p w14:paraId="45648F96" w14:textId="77777777" w:rsidR="00075DA7" w:rsidRPr="00075DA7" w:rsidRDefault="00075DA7" w:rsidP="00BD298D">
            <w:pPr>
              <w:rPr>
                <w:sz w:val="20"/>
                <w:szCs w:val="22"/>
              </w:rPr>
            </w:pPr>
          </w:p>
        </w:tc>
        <w:tc>
          <w:tcPr>
            <w:tcW w:w="1466" w:type="pct"/>
            <w:shd w:val="clear" w:color="auto" w:fill="C7EFFF" w:themeFill="accent2" w:themeFillTint="33"/>
          </w:tcPr>
          <w:p w14:paraId="3DE53726" w14:textId="77777777" w:rsidR="00075DA7" w:rsidRPr="00075DA7" w:rsidRDefault="00075DA7" w:rsidP="00BD298D">
            <w:pPr>
              <w:rPr>
                <w:sz w:val="20"/>
                <w:szCs w:val="22"/>
              </w:rPr>
            </w:pPr>
          </w:p>
        </w:tc>
      </w:tr>
    </w:tbl>
    <w:p w14:paraId="05FA82FF" w14:textId="755953E7" w:rsidR="00F40A88" w:rsidRDefault="00F40A88"/>
    <w:p w14:paraId="0CEAE2A7" w14:textId="77777777" w:rsidR="00F40A88" w:rsidRDefault="00F40A88">
      <w:pPr>
        <w:rPr>
          <w:rFonts w:asciiTheme="majorHAnsi" w:eastAsiaTheme="majorEastAsia" w:hAnsiTheme="majorHAnsi" w:cstheme="majorBidi"/>
          <w:spacing w:val="-10"/>
          <w:kern w:val="28"/>
          <w:sz w:val="56"/>
          <w:szCs w:val="56"/>
        </w:rPr>
      </w:pPr>
      <w:r>
        <w:br w:type="page"/>
      </w:r>
    </w:p>
    <w:p w14:paraId="2126F0D8" w14:textId="7EF4B5AE" w:rsidR="00F619BA" w:rsidRDefault="00F40A88" w:rsidP="00F40A88">
      <w:pPr>
        <w:pStyle w:val="Title"/>
      </w:pPr>
      <w:r>
        <w:lastRenderedPageBreak/>
        <w:t>Appendix</w:t>
      </w:r>
    </w:p>
    <w:p w14:paraId="6CEDB955" w14:textId="76BA87FC" w:rsidR="00E14BE1" w:rsidRDefault="00F619BA" w:rsidP="00F619BA">
      <w:pPr>
        <w:pStyle w:val="Heading1"/>
      </w:pPr>
      <w:r>
        <w:t xml:space="preserve">Partnering Site </w:t>
      </w:r>
      <w:r w:rsidR="00F40A88">
        <w:t>Performance Standard Data Collection</w:t>
      </w:r>
    </w:p>
    <w:tbl>
      <w:tblPr>
        <w:tblStyle w:val="ListTable3-Accent1"/>
        <w:tblW w:w="0" w:type="auto"/>
        <w:tblLook w:val="0420" w:firstRow="1" w:lastRow="0" w:firstColumn="0" w:lastColumn="0" w:noHBand="0" w:noVBand="1"/>
      </w:tblPr>
      <w:tblGrid>
        <w:gridCol w:w="2918"/>
        <w:gridCol w:w="2333"/>
        <w:gridCol w:w="1385"/>
        <w:gridCol w:w="1315"/>
        <w:gridCol w:w="1399"/>
      </w:tblGrid>
      <w:tr w:rsidR="003B7ECF" w:rsidRPr="00F619BA" w14:paraId="0AF2F235" w14:textId="77777777" w:rsidTr="009475C2">
        <w:trPr>
          <w:cnfStyle w:val="100000000000" w:firstRow="1" w:lastRow="0" w:firstColumn="0" w:lastColumn="0" w:oddVBand="0" w:evenVBand="0" w:oddHBand="0" w:evenHBand="0" w:firstRowFirstColumn="0" w:firstRowLastColumn="0" w:lastRowFirstColumn="0" w:lastRowLastColumn="0"/>
        </w:trPr>
        <w:tc>
          <w:tcPr>
            <w:tcW w:w="0" w:type="auto"/>
          </w:tcPr>
          <w:p w14:paraId="4BBD5A4F" w14:textId="69388C9D" w:rsidR="003B7ECF" w:rsidRDefault="003B7ECF" w:rsidP="00E14BE1">
            <w:pPr>
              <w:rPr>
                <w:rFonts w:eastAsia="Times New Roman" w:cs="Cordia New"/>
                <w:sz w:val="22"/>
                <w:szCs w:val="22"/>
              </w:rPr>
            </w:pPr>
            <w:r>
              <w:rPr>
                <w:rFonts w:eastAsia="Times New Roman" w:cs="Cordia New"/>
                <w:sz w:val="22"/>
                <w:szCs w:val="22"/>
              </w:rPr>
              <w:t>Performance Standard</w:t>
            </w:r>
          </w:p>
        </w:tc>
        <w:tc>
          <w:tcPr>
            <w:tcW w:w="0" w:type="auto"/>
          </w:tcPr>
          <w:p w14:paraId="36066ED6" w14:textId="0990F44D" w:rsidR="003B7ECF" w:rsidRPr="00F619BA" w:rsidRDefault="00F40A88" w:rsidP="00E14BE1">
            <w:pPr>
              <w:rPr>
                <w:sz w:val="22"/>
                <w:szCs w:val="22"/>
              </w:rPr>
            </w:pPr>
            <w:r w:rsidRPr="00A83724">
              <w:rPr>
                <w:rFonts w:eastAsia="Times New Roman" w:cs="Cordia New"/>
                <w:sz w:val="22"/>
                <w:szCs w:val="22"/>
              </w:rPr>
              <w:t>Indicator</w:t>
            </w:r>
            <w:r>
              <w:rPr>
                <w:rFonts w:eastAsia="Times New Roman" w:cs="Cordia New"/>
                <w:sz w:val="22"/>
                <w:szCs w:val="22"/>
              </w:rPr>
              <w:t xml:space="preserve"> from the measurement framework</w:t>
            </w:r>
          </w:p>
        </w:tc>
        <w:tc>
          <w:tcPr>
            <w:tcW w:w="0" w:type="auto"/>
          </w:tcPr>
          <w:p w14:paraId="60EC6A8F" w14:textId="558C337D" w:rsidR="003B7ECF" w:rsidRPr="00F619BA" w:rsidRDefault="003B7ECF" w:rsidP="00E14BE1">
            <w:pPr>
              <w:rPr>
                <w:sz w:val="22"/>
                <w:szCs w:val="22"/>
              </w:rPr>
            </w:pPr>
            <w:r w:rsidRPr="00F619BA">
              <w:rPr>
                <w:rFonts w:eastAsia="Times New Roman" w:cs="Cordia New"/>
                <w:sz w:val="22"/>
                <w:szCs w:val="22"/>
              </w:rPr>
              <w:t xml:space="preserve">Data Collection Description </w:t>
            </w:r>
          </w:p>
        </w:tc>
        <w:tc>
          <w:tcPr>
            <w:tcW w:w="0" w:type="auto"/>
          </w:tcPr>
          <w:p w14:paraId="68C0DA6C" w14:textId="7EA02D54" w:rsidR="003B7ECF" w:rsidRPr="00F619BA" w:rsidRDefault="003B7ECF" w:rsidP="00E14BE1">
            <w:pPr>
              <w:rPr>
                <w:sz w:val="22"/>
                <w:szCs w:val="22"/>
              </w:rPr>
            </w:pPr>
            <w:r w:rsidRPr="00F619BA">
              <w:rPr>
                <w:rFonts w:eastAsia="Times New Roman" w:cs="Cordia New"/>
                <w:sz w:val="22"/>
                <w:szCs w:val="22"/>
              </w:rPr>
              <w:t>Frequency of Data Collection</w:t>
            </w:r>
          </w:p>
        </w:tc>
        <w:tc>
          <w:tcPr>
            <w:tcW w:w="0" w:type="auto"/>
          </w:tcPr>
          <w:p w14:paraId="49883F58" w14:textId="61F7F76F" w:rsidR="003B7ECF" w:rsidRPr="00F619BA" w:rsidRDefault="003B7ECF" w:rsidP="00E14BE1">
            <w:pPr>
              <w:rPr>
                <w:sz w:val="22"/>
                <w:szCs w:val="22"/>
              </w:rPr>
            </w:pPr>
            <w:r w:rsidRPr="00F619BA">
              <w:rPr>
                <w:rFonts w:eastAsia="Times New Roman" w:cs="Cordia New"/>
                <w:sz w:val="22"/>
                <w:szCs w:val="22"/>
              </w:rPr>
              <w:t>Person Responsible</w:t>
            </w:r>
          </w:p>
        </w:tc>
      </w:tr>
      <w:tr w:rsidR="009475C2" w:rsidRPr="00F619BA" w14:paraId="37556395" w14:textId="77777777" w:rsidTr="009475C2">
        <w:trPr>
          <w:cnfStyle w:val="000000100000" w:firstRow="0" w:lastRow="0" w:firstColumn="0" w:lastColumn="0" w:oddVBand="0" w:evenVBand="0" w:oddHBand="1" w:evenHBand="0" w:firstRowFirstColumn="0" w:firstRowLastColumn="0" w:lastRowFirstColumn="0" w:lastRowLastColumn="0"/>
        </w:trPr>
        <w:tc>
          <w:tcPr>
            <w:tcW w:w="0" w:type="auto"/>
          </w:tcPr>
          <w:p w14:paraId="34060D59" w14:textId="030CD4FA" w:rsidR="009475C2" w:rsidRDefault="009475C2" w:rsidP="009475C2">
            <w:pPr>
              <w:rPr>
                <w:sz w:val="22"/>
                <w:szCs w:val="22"/>
              </w:rPr>
            </w:pPr>
            <w:r w:rsidRPr="00C33B35">
              <w:rPr>
                <w:b/>
                <w:sz w:val="22"/>
                <w:szCs w:val="22"/>
              </w:rPr>
              <w:t>Number of vacancies</w:t>
            </w:r>
            <w:r>
              <w:rPr>
                <w:sz w:val="22"/>
                <w:szCs w:val="22"/>
              </w:rPr>
              <w:t xml:space="preserve"> - 1 vacancy or less</w:t>
            </w:r>
          </w:p>
        </w:tc>
        <w:tc>
          <w:tcPr>
            <w:tcW w:w="0" w:type="auto"/>
          </w:tcPr>
          <w:p w14:paraId="25428990" w14:textId="09CEC48A" w:rsidR="009475C2" w:rsidRPr="00F619BA" w:rsidRDefault="009475C2" w:rsidP="009475C2">
            <w:pPr>
              <w:rPr>
                <w:sz w:val="22"/>
                <w:szCs w:val="22"/>
              </w:rPr>
            </w:pPr>
            <w:r w:rsidRPr="00F619BA">
              <w:rPr>
                <w:sz w:val="22"/>
                <w:szCs w:val="22"/>
              </w:rPr>
              <w:t># of current vacancies</w:t>
            </w:r>
          </w:p>
        </w:tc>
        <w:tc>
          <w:tcPr>
            <w:tcW w:w="0" w:type="auto"/>
          </w:tcPr>
          <w:p w14:paraId="2601223F" w14:textId="6A3D024D" w:rsidR="009475C2" w:rsidRPr="00F619BA" w:rsidRDefault="009475C2" w:rsidP="009475C2">
            <w:pPr>
              <w:rPr>
                <w:sz w:val="22"/>
                <w:szCs w:val="22"/>
              </w:rPr>
            </w:pPr>
            <w:r>
              <w:rPr>
                <w:sz w:val="22"/>
                <w:szCs w:val="22"/>
              </w:rPr>
              <w:t>Personnel  records</w:t>
            </w:r>
          </w:p>
        </w:tc>
        <w:tc>
          <w:tcPr>
            <w:tcW w:w="0" w:type="auto"/>
          </w:tcPr>
          <w:p w14:paraId="148B7F44" w14:textId="4433D2CA" w:rsidR="009475C2" w:rsidRPr="00F619BA" w:rsidRDefault="009475C2" w:rsidP="009475C2">
            <w:pPr>
              <w:rPr>
                <w:sz w:val="22"/>
                <w:szCs w:val="22"/>
              </w:rPr>
            </w:pPr>
            <w:r>
              <w:rPr>
                <w:sz w:val="22"/>
                <w:szCs w:val="22"/>
              </w:rPr>
              <w:t>Monthly</w:t>
            </w:r>
          </w:p>
        </w:tc>
        <w:tc>
          <w:tcPr>
            <w:tcW w:w="0" w:type="auto"/>
          </w:tcPr>
          <w:p w14:paraId="469E05E8" w14:textId="330B17DF" w:rsidR="009475C2" w:rsidRPr="00F619BA" w:rsidRDefault="009475C2" w:rsidP="009475C2">
            <w:pPr>
              <w:rPr>
                <w:sz w:val="22"/>
                <w:szCs w:val="22"/>
              </w:rPr>
            </w:pPr>
            <w:r>
              <w:rPr>
                <w:sz w:val="22"/>
                <w:szCs w:val="22"/>
              </w:rPr>
              <w:t>Regional Director</w:t>
            </w:r>
          </w:p>
        </w:tc>
      </w:tr>
      <w:tr w:rsidR="009475C2" w:rsidRPr="00F619BA" w14:paraId="5F4668F5" w14:textId="77777777" w:rsidTr="009475C2">
        <w:tc>
          <w:tcPr>
            <w:tcW w:w="0" w:type="auto"/>
          </w:tcPr>
          <w:p w14:paraId="6B285EE0" w14:textId="77A850D7" w:rsidR="009475C2" w:rsidRDefault="009475C2" w:rsidP="009475C2">
            <w:pPr>
              <w:rPr>
                <w:sz w:val="22"/>
                <w:szCs w:val="22"/>
              </w:rPr>
            </w:pPr>
            <w:r w:rsidRPr="00C33B35">
              <w:rPr>
                <w:b/>
                <w:sz w:val="22"/>
                <w:szCs w:val="22"/>
              </w:rPr>
              <w:t>Retention rate</w:t>
            </w:r>
            <w:r>
              <w:rPr>
                <w:sz w:val="22"/>
                <w:szCs w:val="22"/>
              </w:rPr>
              <w:t xml:space="preserve"> - 75% or more</w:t>
            </w:r>
          </w:p>
        </w:tc>
        <w:tc>
          <w:tcPr>
            <w:tcW w:w="0" w:type="auto"/>
          </w:tcPr>
          <w:p w14:paraId="11BA065B" w14:textId="77E01C2F" w:rsidR="009475C2" w:rsidRPr="00F619BA" w:rsidRDefault="009475C2" w:rsidP="009475C2">
            <w:pPr>
              <w:rPr>
                <w:sz w:val="22"/>
                <w:szCs w:val="22"/>
              </w:rPr>
            </w:pPr>
            <w:r>
              <w:rPr>
                <w:sz w:val="22"/>
                <w:szCs w:val="22"/>
              </w:rPr>
              <w:t>Cumulative retention rate over the contract period</w:t>
            </w:r>
          </w:p>
        </w:tc>
        <w:tc>
          <w:tcPr>
            <w:tcW w:w="0" w:type="auto"/>
          </w:tcPr>
          <w:p w14:paraId="18D0A37C" w14:textId="19131A7E" w:rsidR="009475C2" w:rsidRPr="00F619BA" w:rsidRDefault="009475C2" w:rsidP="009475C2">
            <w:pPr>
              <w:rPr>
                <w:sz w:val="22"/>
                <w:szCs w:val="22"/>
              </w:rPr>
            </w:pPr>
            <w:r>
              <w:rPr>
                <w:sz w:val="22"/>
                <w:szCs w:val="22"/>
              </w:rPr>
              <w:t xml:space="preserve">Personnel  records </w:t>
            </w:r>
          </w:p>
        </w:tc>
        <w:tc>
          <w:tcPr>
            <w:tcW w:w="0" w:type="auto"/>
          </w:tcPr>
          <w:p w14:paraId="171C9B06" w14:textId="179F2D76" w:rsidR="009475C2" w:rsidRPr="00F619BA" w:rsidRDefault="009475C2" w:rsidP="009475C2">
            <w:pPr>
              <w:rPr>
                <w:sz w:val="22"/>
                <w:szCs w:val="22"/>
              </w:rPr>
            </w:pPr>
            <w:r>
              <w:rPr>
                <w:sz w:val="22"/>
                <w:szCs w:val="22"/>
              </w:rPr>
              <w:t>Monthly</w:t>
            </w:r>
          </w:p>
        </w:tc>
        <w:tc>
          <w:tcPr>
            <w:tcW w:w="0" w:type="auto"/>
          </w:tcPr>
          <w:p w14:paraId="3F73F9E4" w14:textId="0CA9ACA5" w:rsidR="009475C2" w:rsidRDefault="009475C2" w:rsidP="009475C2">
            <w:pPr>
              <w:rPr>
                <w:sz w:val="22"/>
                <w:szCs w:val="22"/>
              </w:rPr>
            </w:pPr>
            <w:r>
              <w:rPr>
                <w:sz w:val="22"/>
                <w:szCs w:val="22"/>
              </w:rPr>
              <w:t>Regional Director</w:t>
            </w:r>
          </w:p>
        </w:tc>
      </w:tr>
      <w:tr w:rsidR="009475C2" w:rsidRPr="00F619BA" w14:paraId="2EA9B630" w14:textId="77777777" w:rsidTr="009475C2">
        <w:trPr>
          <w:cnfStyle w:val="000000100000" w:firstRow="0" w:lastRow="0" w:firstColumn="0" w:lastColumn="0" w:oddVBand="0" w:evenVBand="0" w:oddHBand="1" w:evenHBand="0" w:firstRowFirstColumn="0" w:firstRowLastColumn="0" w:lastRowFirstColumn="0" w:lastRowLastColumn="0"/>
        </w:trPr>
        <w:tc>
          <w:tcPr>
            <w:tcW w:w="0" w:type="auto"/>
          </w:tcPr>
          <w:p w14:paraId="7D24720D" w14:textId="183D82BD" w:rsidR="009475C2" w:rsidRDefault="009475C2" w:rsidP="009475C2">
            <w:pPr>
              <w:rPr>
                <w:sz w:val="22"/>
                <w:szCs w:val="22"/>
              </w:rPr>
            </w:pPr>
            <w:r w:rsidRPr="00C33B35">
              <w:rPr>
                <w:b/>
                <w:sz w:val="22"/>
                <w:szCs w:val="22"/>
              </w:rPr>
              <w:t>Time to hire of most recent vacancy</w:t>
            </w:r>
            <w:r>
              <w:rPr>
                <w:sz w:val="22"/>
                <w:szCs w:val="22"/>
              </w:rPr>
              <w:t xml:space="preserve"> - vacancies are filled within 45 days</w:t>
            </w:r>
          </w:p>
        </w:tc>
        <w:tc>
          <w:tcPr>
            <w:tcW w:w="0" w:type="auto"/>
          </w:tcPr>
          <w:p w14:paraId="7C6F9FDC" w14:textId="169FD48C" w:rsidR="009475C2" w:rsidRPr="00F619BA" w:rsidRDefault="009475C2" w:rsidP="009475C2">
            <w:pPr>
              <w:rPr>
                <w:sz w:val="22"/>
                <w:szCs w:val="22"/>
              </w:rPr>
            </w:pPr>
            <w:r w:rsidRPr="00F619BA">
              <w:rPr>
                <w:sz w:val="22"/>
                <w:szCs w:val="22"/>
              </w:rPr>
              <w:t>Time to hire of last vacancy</w:t>
            </w:r>
            <w:r>
              <w:rPr>
                <w:sz w:val="22"/>
                <w:szCs w:val="22"/>
              </w:rPr>
              <w:t xml:space="preserve"> measure from the date of resignation to the date a new offer is accepted</w:t>
            </w:r>
          </w:p>
        </w:tc>
        <w:tc>
          <w:tcPr>
            <w:tcW w:w="0" w:type="auto"/>
          </w:tcPr>
          <w:p w14:paraId="0BB53FB4" w14:textId="413D2B50" w:rsidR="009475C2" w:rsidRPr="00F619BA" w:rsidRDefault="009475C2" w:rsidP="009475C2">
            <w:pPr>
              <w:rPr>
                <w:sz w:val="22"/>
                <w:szCs w:val="22"/>
              </w:rPr>
            </w:pPr>
            <w:r>
              <w:rPr>
                <w:sz w:val="22"/>
                <w:szCs w:val="22"/>
              </w:rPr>
              <w:t>Personnel  records</w:t>
            </w:r>
          </w:p>
        </w:tc>
        <w:tc>
          <w:tcPr>
            <w:tcW w:w="0" w:type="auto"/>
          </w:tcPr>
          <w:p w14:paraId="43598228" w14:textId="21627A38" w:rsidR="009475C2" w:rsidRPr="00F619BA" w:rsidRDefault="009475C2" w:rsidP="009475C2">
            <w:pPr>
              <w:rPr>
                <w:sz w:val="22"/>
                <w:szCs w:val="22"/>
              </w:rPr>
            </w:pPr>
            <w:r>
              <w:rPr>
                <w:sz w:val="22"/>
                <w:szCs w:val="22"/>
              </w:rPr>
              <w:t>Monthly</w:t>
            </w:r>
          </w:p>
        </w:tc>
        <w:tc>
          <w:tcPr>
            <w:tcW w:w="0" w:type="auto"/>
          </w:tcPr>
          <w:p w14:paraId="5BE300FC" w14:textId="03252804" w:rsidR="009475C2" w:rsidRPr="00F619BA" w:rsidRDefault="009475C2" w:rsidP="009475C2">
            <w:pPr>
              <w:rPr>
                <w:sz w:val="22"/>
                <w:szCs w:val="22"/>
              </w:rPr>
            </w:pPr>
            <w:r>
              <w:rPr>
                <w:sz w:val="22"/>
                <w:szCs w:val="22"/>
              </w:rPr>
              <w:t>Regional Director</w:t>
            </w:r>
          </w:p>
        </w:tc>
      </w:tr>
      <w:tr w:rsidR="009475C2" w:rsidRPr="00F619BA" w14:paraId="12028D78" w14:textId="77777777" w:rsidTr="009475C2">
        <w:tc>
          <w:tcPr>
            <w:tcW w:w="0" w:type="auto"/>
          </w:tcPr>
          <w:p w14:paraId="6E3549E3" w14:textId="03A2FC88" w:rsidR="009475C2" w:rsidRDefault="009475C2" w:rsidP="009475C2">
            <w:pPr>
              <w:rPr>
                <w:sz w:val="22"/>
                <w:szCs w:val="22"/>
              </w:rPr>
            </w:pPr>
            <w:r w:rsidRPr="00C33B35">
              <w:rPr>
                <w:b/>
                <w:sz w:val="22"/>
                <w:szCs w:val="22"/>
              </w:rPr>
              <w:t>Average time to hire across the contract period</w:t>
            </w:r>
            <w:r>
              <w:rPr>
                <w:sz w:val="22"/>
                <w:szCs w:val="22"/>
              </w:rPr>
              <w:t xml:space="preserve"> - Vacancies are filled within 45 days</w:t>
            </w:r>
          </w:p>
        </w:tc>
        <w:tc>
          <w:tcPr>
            <w:tcW w:w="0" w:type="auto"/>
          </w:tcPr>
          <w:p w14:paraId="1294F6D5" w14:textId="5BE445DF" w:rsidR="009475C2" w:rsidRPr="00F619BA" w:rsidRDefault="009475C2" w:rsidP="009475C2">
            <w:pPr>
              <w:rPr>
                <w:sz w:val="22"/>
                <w:szCs w:val="22"/>
              </w:rPr>
            </w:pPr>
            <w:r w:rsidRPr="00F619BA">
              <w:rPr>
                <w:sz w:val="22"/>
                <w:szCs w:val="22"/>
              </w:rPr>
              <w:t>Ave</w:t>
            </w:r>
            <w:r>
              <w:rPr>
                <w:sz w:val="22"/>
                <w:szCs w:val="22"/>
              </w:rPr>
              <w:t>rage time to hire over the contract period</w:t>
            </w:r>
          </w:p>
        </w:tc>
        <w:tc>
          <w:tcPr>
            <w:tcW w:w="0" w:type="auto"/>
          </w:tcPr>
          <w:p w14:paraId="34EE6948" w14:textId="3CDE8E2B" w:rsidR="009475C2" w:rsidRPr="00F619BA" w:rsidRDefault="009475C2" w:rsidP="009475C2">
            <w:pPr>
              <w:rPr>
                <w:sz w:val="22"/>
                <w:szCs w:val="22"/>
              </w:rPr>
            </w:pPr>
            <w:r>
              <w:rPr>
                <w:sz w:val="22"/>
                <w:szCs w:val="22"/>
              </w:rPr>
              <w:t>Personnel Records</w:t>
            </w:r>
          </w:p>
        </w:tc>
        <w:tc>
          <w:tcPr>
            <w:tcW w:w="0" w:type="auto"/>
          </w:tcPr>
          <w:p w14:paraId="3949CACB" w14:textId="3077A752" w:rsidR="009475C2" w:rsidRPr="00F619BA" w:rsidRDefault="009475C2" w:rsidP="009475C2">
            <w:pPr>
              <w:rPr>
                <w:sz w:val="22"/>
                <w:szCs w:val="22"/>
              </w:rPr>
            </w:pPr>
            <w:r>
              <w:rPr>
                <w:sz w:val="22"/>
                <w:szCs w:val="22"/>
              </w:rPr>
              <w:t>Monthly</w:t>
            </w:r>
          </w:p>
        </w:tc>
        <w:tc>
          <w:tcPr>
            <w:tcW w:w="0" w:type="auto"/>
          </w:tcPr>
          <w:p w14:paraId="5EF5AD34" w14:textId="63AD8053" w:rsidR="009475C2" w:rsidRPr="00F619BA" w:rsidRDefault="009475C2" w:rsidP="009475C2">
            <w:pPr>
              <w:rPr>
                <w:sz w:val="22"/>
                <w:szCs w:val="22"/>
              </w:rPr>
            </w:pPr>
            <w:r>
              <w:rPr>
                <w:sz w:val="22"/>
                <w:szCs w:val="22"/>
              </w:rPr>
              <w:t>Regional Director</w:t>
            </w:r>
          </w:p>
        </w:tc>
      </w:tr>
      <w:tr w:rsidR="009475C2" w:rsidRPr="00F619BA" w14:paraId="781BF660" w14:textId="77777777" w:rsidTr="009475C2">
        <w:trPr>
          <w:cnfStyle w:val="000000100000" w:firstRow="0" w:lastRow="0" w:firstColumn="0" w:lastColumn="0" w:oddVBand="0" w:evenVBand="0" w:oddHBand="1" w:evenHBand="0" w:firstRowFirstColumn="0" w:firstRowLastColumn="0" w:lastRowFirstColumn="0" w:lastRowLastColumn="0"/>
        </w:trPr>
        <w:tc>
          <w:tcPr>
            <w:tcW w:w="0" w:type="auto"/>
          </w:tcPr>
          <w:p w14:paraId="11AD7599" w14:textId="77777777" w:rsidR="009475C2" w:rsidRDefault="009475C2" w:rsidP="009475C2">
            <w:pPr>
              <w:rPr>
                <w:sz w:val="22"/>
                <w:szCs w:val="22"/>
              </w:rPr>
            </w:pPr>
            <w:r w:rsidRPr="00C33B35">
              <w:rPr>
                <w:b/>
                <w:sz w:val="22"/>
                <w:szCs w:val="22"/>
              </w:rPr>
              <w:t>Nondiscrimination Compliance</w:t>
            </w:r>
            <w:r>
              <w:rPr>
                <w:sz w:val="22"/>
                <w:szCs w:val="22"/>
              </w:rPr>
              <w:t xml:space="preserve"> - 100% of staff in compliance with the Nondiscrimination Policy</w:t>
            </w:r>
          </w:p>
          <w:p w14:paraId="46851B3D" w14:textId="77777777" w:rsidR="009475C2" w:rsidRDefault="009475C2" w:rsidP="009475C2">
            <w:pPr>
              <w:rPr>
                <w:sz w:val="22"/>
                <w:szCs w:val="22"/>
              </w:rPr>
            </w:pPr>
            <w:r>
              <w:rPr>
                <w:sz w:val="22"/>
                <w:szCs w:val="22"/>
              </w:rPr>
              <w:t>-All staff have been trained on nondiscrimination</w:t>
            </w:r>
          </w:p>
          <w:p w14:paraId="7B72D6E3" w14:textId="77777777" w:rsidR="009475C2" w:rsidRDefault="009475C2" w:rsidP="009475C2">
            <w:pPr>
              <w:rPr>
                <w:sz w:val="22"/>
                <w:szCs w:val="22"/>
              </w:rPr>
            </w:pPr>
            <w:r>
              <w:rPr>
                <w:sz w:val="22"/>
                <w:szCs w:val="22"/>
              </w:rPr>
              <w:t>-All employee records include signed policy</w:t>
            </w:r>
          </w:p>
          <w:p w14:paraId="466C6C8F" w14:textId="7FAAB999" w:rsidR="009475C2" w:rsidRDefault="009475C2" w:rsidP="009475C2">
            <w:pPr>
              <w:rPr>
                <w:sz w:val="22"/>
                <w:szCs w:val="22"/>
              </w:rPr>
            </w:pPr>
            <w:r>
              <w:rPr>
                <w:sz w:val="22"/>
                <w:szCs w:val="22"/>
              </w:rPr>
              <w:t xml:space="preserve">-All complaints of violation of the Partnering Site’s Nondiscrimination Policy involving Navigators or Site Supervisors are reported to the Regional Director within two business days of the Partnering Site learning of the violation </w:t>
            </w:r>
          </w:p>
        </w:tc>
        <w:tc>
          <w:tcPr>
            <w:tcW w:w="0" w:type="auto"/>
          </w:tcPr>
          <w:p w14:paraId="3E1EEBCF" w14:textId="71C48275" w:rsidR="009475C2" w:rsidRPr="00F619BA" w:rsidRDefault="009475C2" w:rsidP="009475C2">
            <w:pPr>
              <w:rPr>
                <w:sz w:val="22"/>
                <w:szCs w:val="22"/>
              </w:rPr>
            </w:pPr>
            <w:r>
              <w:rPr>
                <w:sz w:val="22"/>
                <w:szCs w:val="22"/>
              </w:rPr>
              <w:t xml:space="preserve">% of staff in compliance with the </w:t>
            </w:r>
            <w:r w:rsidRPr="00F619BA">
              <w:rPr>
                <w:sz w:val="22"/>
                <w:szCs w:val="22"/>
              </w:rPr>
              <w:t>Non</w:t>
            </w:r>
            <w:r>
              <w:rPr>
                <w:sz w:val="22"/>
                <w:szCs w:val="22"/>
              </w:rPr>
              <w:t>discrimination Policy</w:t>
            </w:r>
          </w:p>
        </w:tc>
        <w:tc>
          <w:tcPr>
            <w:tcW w:w="0" w:type="auto"/>
          </w:tcPr>
          <w:p w14:paraId="6AAA4524" w14:textId="042915AC" w:rsidR="009475C2" w:rsidRPr="00F619BA" w:rsidRDefault="009475C2" w:rsidP="009475C2">
            <w:pPr>
              <w:rPr>
                <w:sz w:val="22"/>
                <w:szCs w:val="22"/>
              </w:rPr>
            </w:pPr>
            <w:r>
              <w:rPr>
                <w:sz w:val="22"/>
                <w:szCs w:val="22"/>
              </w:rPr>
              <w:t>Personnel Records</w:t>
            </w:r>
          </w:p>
        </w:tc>
        <w:tc>
          <w:tcPr>
            <w:tcW w:w="0" w:type="auto"/>
          </w:tcPr>
          <w:p w14:paraId="212B626D" w14:textId="0671FD14" w:rsidR="009475C2" w:rsidRPr="00F619BA" w:rsidRDefault="009475C2" w:rsidP="009475C2">
            <w:pPr>
              <w:rPr>
                <w:sz w:val="22"/>
                <w:szCs w:val="22"/>
              </w:rPr>
            </w:pPr>
            <w:r>
              <w:rPr>
                <w:sz w:val="22"/>
                <w:szCs w:val="22"/>
              </w:rPr>
              <w:t>Monthly</w:t>
            </w:r>
          </w:p>
        </w:tc>
        <w:tc>
          <w:tcPr>
            <w:tcW w:w="0" w:type="auto"/>
          </w:tcPr>
          <w:p w14:paraId="186BBC1A" w14:textId="7AEEAE0F" w:rsidR="009475C2" w:rsidRPr="00F619BA" w:rsidRDefault="009475C2" w:rsidP="009475C2">
            <w:pPr>
              <w:rPr>
                <w:sz w:val="22"/>
                <w:szCs w:val="22"/>
              </w:rPr>
            </w:pPr>
            <w:r>
              <w:rPr>
                <w:sz w:val="22"/>
                <w:szCs w:val="22"/>
              </w:rPr>
              <w:t>Regional Director</w:t>
            </w:r>
          </w:p>
        </w:tc>
      </w:tr>
      <w:tr w:rsidR="009475C2" w:rsidRPr="00F619BA" w14:paraId="6A773EFC" w14:textId="77777777" w:rsidTr="009475C2">
        <w:tc>
          <w:tcPr>
            <w:tcW w:w="0" w:type="auto"/>
          </w:tcPr>
          <w:p w14:paraId="65C02D86" w14:textId="19F2572F" w:rsidR="009475C2" w:rsidRPr="00C33B35" w:rsidRDefault="009475C2" w:rsidP="009475C2">
            <w:pPr>
              <w:rPr>
                <w:b/>
                <w:sz w:val="22"/>
                <w:szCs w:val="22"/>
              </w:rPr>
            </w:pPr>
            <w:r>
              <w:rPr>
                <w:b/>
                <w:sz w:val="22"/>
                <w:szCs w:val="22"/>
              </w:rPr>
              <w:t># of discrimination complaints</w:t>
            </w:r>
          </w:p>
        </w:tc>
        <w:tc>
          <w:tcPr>
            <w:tcW w:w="0" w:type="auto"/>
          </w:tcPr>
          <w:p w14:paraId="189F65B8" w14:textId="60124B9B" w:rsidR="009475C2" w:rsidRDefault="009475C2" w:rsidP="009475C2">
            <w:pPr>
              <w:rPr>
                <w:sz w:val="22"/>
                <w:szCs w:val="22"/>
              </w:rPr>
            </w:pPr>
            <w:r>
              <w:rPr>
                <w:sz w:val="22"/>
                <w:szCs w:val="22"/>
              </w:rPr>
              <w:t># of discrimination complaints within the monthly reporting period</w:t>
            </w:r>
          </w:p>
        </w:tc>
        <w:tc>
          <w:tcPr>
            <w:tcW w:w="0" w:type="auto"/>
          </w:tcPr>
          <w:p w14:paraId="360DF6DF" w14:textId="09365546" w:rsidR="009475C2" w:rsidRDefault="009475C2" w:rsidP="009475C2">
            <w:pPr>
              <w:rPr>
                <w:sz w:val="22"/>
                <w:szCs w:val="22"/>
              </w:rPr>
            </w:pPr>
            <w:r>
              <w:rPr>
                <w:sz w:val="22"/>
                <w:szCs w:val="22"/>
              </w:rPr>
              <w:t>Program Record</w:t>
            </w:r>
          </w:p>
        </w:tc>
        <w:tc>
          <w:tcPr>
            <w:tcW w:w="0" w:type="auto"/>
          </w:tcPr>
          <w:p w14:paraId="50C4973C" w14:textId="35CBFF45" w:rsidR="009475C2" w:rsidRPr="00F619BA" w:rsidRDefault="009475C2" w:rsidP="009475C2">
            <w:pPr>
              <w:rPr>
                <w:sz w:val="22"/>
                <w:szCs w:val="22"/>
              </w:rPr>
            </w:pPr>
            <w:r>
              <w:rPr>
                <w:sz w:val="22"/>
                <w:szCs w:val="22"/>
              </w:rPr>
              <w:t>Monthly</w:t>
            </w:r>
          </w:p>
        </w:tc>
        <w:tc>
          <w:tcPr>
            <w:tcW w:w="0" w:type="auto"/>
          </w:tcPr>
          <w:p w14:paraId="20EACAEA" w14:textId="7C509389" w:rsidR="009475C2" w:rsidRDefault="009475C2" w:rsidP="009475C2">
            <w:pPr>
              <w:rPr>
                <w:sz w:val="22"/>
                <w:szCs w:val="22"/>
              </w:rPr>
            </w:pPr>
            <w:r>
              <w:rPr>
                <w:sz w:val="22"/>
                <w:szCs w:val="22"/>
              </w:rPr>
              <w:t>Regional Director</w:t>
            </w:r>
          </w:p>
        </w:tc>
      </w:tr>
      <w:tr w:rsidR="009475C2" w:rsidRPr="00F619BA" w14:paraId="2604B4C1" w14:textId="77777777" w:rsidTr="009475C2">
        <w:trPr>
          <w:cnfStyle w:val="000000100000" w:firstRow="0" w:lastRow="0" w:firstColumn="0" w:lastColumn="0" w:oddVBand="0" w:evenVBand="0" w:oddHBand="1" w:evenHBand="0" w:firstRowFirstColumn="0" w:firstRowLastColumn="0" w:lastRowFirstColumn="0" w:lastRowLastColumn="0"/>
        </w:trPr>
        <w:tc>
          <w:tcPr>
            <w:tcW w:w="0" w:type="auto"/>
          </w:tcPr>
          <w:p w14:paraId="14C947F4" w14:textId="77777777" w:rsidR="009475C2" w:rsidRDefault="009475C2" w:rsidP="009475C2">
            <w:pPr>
              <w:rPr>
                <w:sz w:val="22"/>
                <w:szCs w:val="22"/>
              </w:rPr>
            </w:pPr>
            <w:r w:rsidRPr="005770F9">
              <w:rPr>
                <w:b/>
                <w:sz w:val="22"/>
                <w:szCs w:val="22"/>
              </w:rPr>
              <w:t>HIPPA Compliance</w:t>
            </w:r>
            <w:r>
              <w:rPr>
                <w:sz w:val="22"/>
                <w:szCs w:val="22"/>
              </w:rPr>
              <w:t xml:space="preserve"> - 100% of staff in compliance with HIPPA</w:t>
            </w:r>
          </w:p>
          <w:p w14:paraId="08DA2094" w14:textId="77777777" w:rsidR="009475C2" w:rsidRDefault="009475C2" w:rsidP="009475C2">
            <w:pPr>
              <w:rPr>
                <w:sz w:val="22"/>
                <w:szCs w:val="22"/>
              </w:rPr>
            </w:pPr>
            <w:r>
              <w:rPr>
                <w:sz w:val="22"/>
                <w:szCs w:val="22"/>
              </w:rPr>
              <w:t>-All staff have been trained on HIPPA Compliance</w:t>
            </w:r>
          </w:p>
          <w:p w14:paraId="332090F1" w14:textId="77777777" w:rsidR="009475C2" w:rsidRDefault="009475C2" w:rsidP="009475C2">
            <w:pPr>
              <w:rPr>
                <w:sz w:val="22"/>
                <w:szCs w:val="22"/>
              </w:rPr>
            </w:pPr>
            <w:r>
              <w:rPr>
                <w:sz w:val="22"/>
                <w:szCs w:val="22"/>
              </w:rPr>
              <w:t>-All employee records include signed policy</w:t>
            </w:r>
          </w:p>
          <w:p w14:paraId="5F8B8E66" w14:textId="03652E1B" w:rsidR="009475C2" w:rsidRDefault="009475C2" w:rsidP="009475C2">
            <w:pPr>
              <w:rPr>
                <w:sz w:val="22"/>
                <w:szCs w:val="22"/>
              </w:rPr>
            </w:pPr>
            <w:r>
              <w:rPr>
                <w:sz w:val="22"/>
                <w:szCs w:val="22"/>
              </w:rPr>
              <w:lastRenderedPageBreak/>
              <w:t>-All violations of HIPPA relevant to the OhioKAN Program are reported to the Regional Director within two business days of the Partnering Site learning of the violation</w:t>
            </w:r>
          </w:p>
        </w:tc>
        <w:tc>
          <w:tcPr>
            <w:tcW w:w="0" w:type="auto"/>
          </w:tcPr>
          <w:p w14:paraId="13D1AEF1" w14:textId="3B7CFEB9" w:rsidR="009475C2" w:rsidRPr="00F619BA" w:rsidRDefault="009475C2" w:rsidP="009475C2">
            <w:pPr>
              <w:rPr>
                <w:sz w:val="22"/>
                <w:szCs w:val="22"/>
              </w:rPr>
            </w:pPr>
            <w:r>
              <w:rPr>
                <w:sz w:val="22"/>
                <w:szCs w:val="22"/>
              </w:rPr>
              <w:lastRenderedPageBreak/>
              <w:t>% of staff in compliance with HIPPA</w:t>
            </w:r>
          </w:p>
        </w:tc>
        <w:tc>
          <w:tcPr>
            <w:tcW w:w="0" w:type="auto"/>
          </w:tcPr>
          <w:p w14:paraId="6AECFD72" w14:textId="6F9C049F" w:rsidR="009475C2" w:rsidRPr="00F619BA" w:rsidRDefault="009475C2" w:rsidP="009475C2">
            <w:pPr>
              <w:rPr>
                <w:sz w:val="22"/>
                <w:szCs w:val="22"/>
              </w:rPr>
            </w:pPr>
            <w:r>
              <w:rPr>
                <w:sz w:val="22"/>
                <w:szCs w:val="22"/>
              </w:rPr>
              <w:t>Personnel Records</w:t>
            </w:r>
          </w:p>
        </w:tc>
        <w:tc>
          <w:tcPr>
            <w:tcW w:w="0" w:type="auto"/>
          </w:tcPr>
          <w:p w14:paraId="20C3E07F" w14:textId="288768AF" w:rsidR="009475C2" w:rsidRPr="00F619BA" w:rsidRDefault="009475C2" w:rsidP="009475C2">
            <w:pPr>
              <w:rPr>
                <w:sz w:val="22"/>
                <w:szCs w:val="22"/>
              </w:rPr>
            </w:pPr>
            <w:r>
              <w:rPr>
                <w:sz w:val="22"/>
                <w:szCs w:val="22"/>
              </w:rPr>
              <w:t>Monthly</w:t>
            </w:r>
          </w:p>
        </w:tc>
        <w:tc>
          <w:tcPr>
            <w:tcW w:w="0" w:type="auto"/>
          </w:tcPr>
          <w:p w14:paraId="15883923" w14:textId="52E3A842" w:rsidR="009475C2" w:rsidRPr="00F619BA" w:rsidRDefault="009475C2" w:rsidP="009475C2">
            <w:pPr>
              <w:rPr>
                <w:sz w:val="22"/>
                <w:szCs w:val="22"/>
              </w:rPr>
            </w:pPr>
            <w:r>
              <w:rPr>
                <w:sz w:val="22"/>
                <w:szCs w:val="22"/>
              </w:rPr>
              <w:t>Regional Director</w:t>
            </w:r>
          </w:p>
        </w:tc>
      </w:tr>
      <w:tr w:rsidR="009475C2" w:rsidRPr="00F619BA" w14:paraId="4A360A4F" w14:textId="77777777" w:rsidTr="009475C2">
        <w:tc>
          <w:tcPr>
            <w:tcW w:w="0" w:type="auto"/>
          </w:tcPr>
          <w:p w14:paraId="6D7C16E9" w14:textId="1BD5D44B" w:rsidR="009475C2" w:rsidRDefault="009475C2" w:rsidP="009475C2">
            <w:pPr>
              <w:rPr>
                <w:b/>
                <w:sz w:val="22"/>
                <w:szCs w:val="22"/>
              </w:rPr>
            </w:pPr>
            <w:r>
              <w:rPr>
                <w:b/>
                <w:sz w:val="22"/>
                <w:szCs w:val="22"/>
              </w:rPr>
              <w:t># of HIPPA violations</w:t>
            </w:r>
          </w:p>
        </w:tc>
        <w:tc>
          <w:tcPr>
            <w:tcW w:w="0" w:type="auto"/>
          </w:tcPr>
          <w:p w14:paraId="4C87D943" w14:textId="69CBEA72" w:rsidR="009475C2" w:rsidRDefault="009475C2" w:rsidP="009475C2">
            <w:pPr>
              <w:rPr>
                <w:sz w:val="22"/>
                <w:szCs w:val="22"/>
              </w:rPr>
            </w:pPr>
            <w:r>
              <w:rPr>
                <w:sz w:val="22"/>
                <w:szCs w:val="22"/>
              </w:rPr>
              <w:t># of HIPPA complaints within the monthly reporting period</w:t>
            </w:r>
          </w:p>
        </w:tc>
        <w:tc>
          <w:tcPr>
            <w:tcW w:w="0" w:type="auto"/>
          </w:tcPr>
          <w:p w14:paraId="12A6B97B" w14:textId="5037DD8E" w:rsidR="009475C2" w:rsidRDefault="009475C2" w:rsidP="009475C2">
            <w:pPr>
              <w:rPr>
                <w:sz w:val="22"/>
                <w:szCs w:val="22"/>
              </w:rPr>
            </w:pPr>
            <w:r>
              <w:rPr>
                <w:sz w:val="22"/>
                <w:szCs w:val="22"/>
              </w:rPr>
              <w:t>Program Records</w:t>
            </w:r>
          </w:p>
        </w:tc>
        <w:tc>
          <w:tcPr>
            <w:tcW w:w="0" w:type="auto"/>
          </w:tcPr>
          <w:p w14:paraId="21266ADE" w14:textId="1CC2D0CD" w:rsidR="009475C2" w:rsidRPr="00F619BA" w:rsidRDefault="009475C2" w:rsidP="009475C2">
            <w:pPr>
              <w:rPr>
                <w:sz w:val="22"/>
                <w:szCs w:val="22"/>
              </w:rPr>
            </w:pPr>
            <w:r>
              <w:rPr>
                <w:sz w:val="22"/>
                <w:szCs w:val="22"/>
              </w:rPr>
              <w:t>Monthly</w:t>
            </w:r>
          </w:p>
        </w:tc>
        <w:tc>
          <w:tcPr>
            <w:tcW w:w="0" w:type="auto"/>
          </w:tcPr>
          <w:p w14:paraId="59DE8F8D" w14:textId="3A38F92A" w:rsidR="009475C2" w:rsidRDefault="009475C2" w:rsidP="009475C2">
            <w:pPr>
              <w:rPr>
                <w:sz w:val="22"/>
                <w:szCs w:val="22"/>
              </w:rPr>
            </w:pPr>
            <w:r>
              <w:rPr>
                <w:sz w:val="22"/>
                <w:szCs w:val="22"/>
              </w:rPr>
              <w:t>Regional Director</w:t>
            </w:r>
          </w:p>
        </w:tc>
      </w:tr>
    </w:tbl>
    <w:p w14:paraId="0476D50E" w14:textId="77777777" w:rsidR="00C30438" w:rsidRDefault="00F21255" w:rsidP="00F619BA">
      <w:pPr>
        <w:pStyle w:val="Heading1"/>
      </w:pPr>
      <w:r>
        <w:t>Navigator Performance Standards</w:t>
      </w:r>
      <w:r w:rsidR="00F40A88">
        <w:t xml:space="preserve"> Data Collection</w:t>
      </w:r>
      <w:r w:rsidR="00C30438">
        <w:t xml:space="preserve"> </w:t>
      </w:r>
    </w:p>
    <w:p w14:paraId="63DC5147" w14:textId="1BBD8307" w:rsidR="00FA5A45" w:rsidRPr="00C30438" w:rsidRDefault="00C30438" w:rsidP="00C30438">
      <w:pPr>
        <w:pStyle w:val="Heading1"/>
        <w:spacing w:before="0"/>
        <w:rPr>
          <w:color w:val="23B4E1" w:themeColor="accent5" w:themeShade="BF"/>
          <w:sz w:val="22"/>
        </w:rPr>
      </w:pPr>
      <w:r>
        <w:rPr>
          <w:color w:val="23B4E1" w:themeColor="accent5" w:themeShade="BF"/>
          <w:sz w:val="22"/>
        </w:rPr>
        <w:t>*</w:t>
      </w:r>
      <w:r w:rsidRPr="00C30438">
        <w:rPr>
          <w:color w:val="23B4E1" w:themeColor="accent5" w:themeShade="BF"/>
          <w:sz w:val="22"/>
        </w:rPr>
        <w:t>Light Blue background = Navigator KPI</w:t>
      </w:r>
    </w:p>
    <w:tbl>
      <w:tblPr>
        <w:tblStyle w:val="ListTable3-Accent1"/>
        <w:tblW w:w="0" w:type="auto"/>
        <w:tblLook w:val="0420" w:firstRow="1" w:lastRow="0" w:firstColumn="0" w:lastColumn="0" w:noHBand="0" w:noVBand="1"/>
      </w:tblPr>
      <w:tblGrid>
        <w:gridCol w:w="1972"/>
        <w:gridCol w:w="1935"/>
        <w:gridCol w:w="1529"/>
        <w:gridCol w:w="2362"/>
        <w:gridCol w:w="1552"/>
      </w:tblGrid>
      <w:tr w:rsidR="00803A62" w:rsidRPr="00075DA7" w14:paraId="1BB8B004" w14:textId="77777777" w:rsidTr="003B4D17">
        <w:trPr>
          <w:cnfStyle w:val="100000000000" w:firstRow="1" w:lastRow="0" w:firstColumn="0" w:lastColumn="0" w:oddVBand="0" w:evenVBand="0" w:oddHBand="0" w:evenHBand="0" w:firstRowFirstColumn="0" w:firstRowLastColumn="0" w:lastRowFirstColumn="0" w:lastRowLastColumn="0"/>
        </w:trPr>
        <w:tc>
          <w:tcPr>
            <w:tcW w:w="1972" w:type="dxa"/>
          </w:tcPr>
          <w:p w14:paraId="309861D3" w14:textId="10B802D9" w:rsidR="000769FE" w:rsidRPr="00075DA7" w:rsidRDefault="000769FE" w:rsidP="00BD298D">
            <w:pPr>
              <w:rPr>
                <w:rFonts w:eastAsia="Times New Roman" w:cs="Cordia New"/>
                <w:sz w:val="20"/>
                <w:szCs w:val="20"/>
              </w:rPr>
            </w:pPr>
            <w:r w:rsidRPr="00075DA7">
              <w:rPr>
                <w:rFonts w:eastAsia="Times New Roman" w:cs="Cordia New"/>
                <w:sz w:val="20"/>
                <w:szCs w:val="20"/>
              </w:rPr>
              <w:t>Performance Standard</w:t>
            </w:r>
          </w:p>
        </w:tc>
        <w:tc>
          <w:tcPr>
            <w:tcW w:w="1935" w:type="dxa"/>
          </w:tcPr>
          <w:p w14:paraId="3941C742" w14:textId="5C711D19" w:rsidR="000769FE" w:rsidRPr="00075DA7" w:rsidRDefault="000769FE" w:rsidP="00BD298D">
            <w:pPr>
              <w:rPr>
                <w:sz w:val="20"/>
                <w:szCs w:val="20"/>
              </w:rPr>
            </w:pPr>
            <w:r w:rsidRPr="00075DA7">
              <w:rPr>
                <w:rFonts w:eastAsia="Times New Roman" w:cs="Cordia New"/>
                <w:sz w:val="20"/>
                <w:szCs w:val="20"/>
              </w:rPr>
              <w:t>Indicator from the measurement framework</w:t>
            </w:r>
          </w:p>
        </w:tc>
        <w:tc>
          <w:tcPr>
            <w:tcW w:w="1529" w:type="dxa"/>
          </w:tcPr>
          <w:p w14:paraId="4E10427D" w14:textId="77777777" w:rsidR="000769FE" w:rsidRPr="00075DA7" w:rsidRDefault="000769FE" w:rsidP="00BD298D">
            <w:pPr>
              <w:rPr>
                <w:sz w:val="20"/>
                <w:szCs w:val="20"/>
              </w:rPr>
            </w:pPr>
            <w:r w:rsidRPr="00075DA7">
              <w:rPr>
                <w:rFonts w:eastAsia="Times New Roman" w:cs="Cordia New"/>
                <w:sz w:val="20"/>
                <w:szCs w:val="20"/>
              </w:rPr>
              <w:t xml:space="preserve">Data Collection Description </w:t>
            </w:r>
          </w:p>
        </w:tc>
        <w:tc>
          <w:tcPr>
            <w:tcW w:w="2362" w:type="dxa"/>
          </w:tcPr>
          <w:p w14:paraId="60D38F53" w14:textId="77777777" w:rsidR="000769FE" w:rsidRPr="00075DA7" w:rsidRDefault="000769FE" w:rsidP="00BD298D">
            <w:pPr>
              <w:rPr>
                <w:sz w:val="20"/>
                <w:szCs w:val="20"/>
              </w:rPr>
            </w:pPr>
            <w:r w:rsidRPr="00075DA7">
              <w:rPr>
                <w:rFonts w:eastAsia="Times New Roman" w:cs="Cordia New"/>
                <w:sz w:val="20"/>
                <w:szCs w:val="20"/>
              </w:rPr>
              <w:t>Frequency of Data Collection</w:t>
            </w:r>
          </w:p>
        </w:tc>
        <w:tc>
          <w:tcPr>
            <w:tcW w:w="1552" w:type="dxa"/>
          </w:tcPr>
          <w:p w14:paraId="2F2E3BCB" w14:textId="77777777" w:rsidR="000769FE" w:rsidRPr="00075DA7" w:rsidRDefault="000769FE" w:rsidP="00BD298D">
            <w:pPr>
              <w:rPr>
                <w:sz w:val="20"/>
                <w:szCs w:val="20"/>
              </w:rPr>
            </w:pPr>
            <w:r w:rsidRPr="00075DA7">
              <w:rPr>
                <w:rFonts w:eastAsia="Times New Roman" w:cs="Cordia New"/>
                <w:sz w:val="20"/>
                <w:szCs w:val="20"/>
              </w:rPr>
              <w:t>Person Responsible</w:t>
            </w:r>
          </w:p>
        </w:tc>
      </w:tr>
      <w:tr w:rsidR="000068ED" w:rsidRPr="00075DA7" w14:paraId="7992C18B" w14:textId="77777777" w:rsidTr="00C30438">
        <w:trPr>
          <w:cnfStyle w:val="000000100000" w:firstRow="0" w:lastRow="0" w:firstColumn="0" w:lastColumn="0" w:oddVBand="0" w:evenVBand="0" w:oddHBand="1" w:evenHBand="0" w:firstRowFirstColumn="0" w:firstRowLastColumn="0" w:lastRowFirstColumn="0" w:lastRowLastColumn="0"/>
        </w:trPr>
        <w:tc>
          <w:tcPr>
            <w:tcW w:w="1972" w:type="dxa"/>
            <w:shd w:val="clear" w:color="auto" w:fill="C7EFFF" w:themeFill="accent2" w:themeFillTint="33"/>
          </w:tcPr>
          <w:p w14:paraId="764AE42E" w14:textId="42634950" w:rsidR="000068ED" w:rsidRPr="00075DA7" w:rsidRDefault="000068ED" w:rsidP="000068ED">
            <w:pPr>
              <w:rPr>
                <w:rFonts w:eastAsia="Times New Roman" w:cs="Cordia New"/>
                <w:color w:val="000000" w:themeColor="text1"/>
                <w:sz w:val="20"/>
                <w:szCs w:val="20"/>
              </w:rPr>
            </w:pPr>
            <w:r w:rsidRPr="00075DA7">
              <w:rPr>
                <w:rFonts w:eastAsia="Times New Roman" w:cs="Cordia New"/>
                <w:b/>
                <w:color w:val="000000" w:themeColor="text1"/>
                <w:sz w:val="20"/>
                <w:szCs w:val="22"/>
              </w:rPr>
              <w:t>BASICS Completion</w:t>
            </w:r>
            <w:r w:rsidRPr="00075DA7">
              <w:rPr>
                <w:rFonts w:eastAsia="Times New Roman" w:cs="Cordia New"/>
                <w:color w:val="000000" w:themeColor="text1"/>
                <w:sz w:val="20"/>
                <w:szCs w:val="22"/>
              </w:rPr>
              <w:t xml:space="preserve"> – </w:t>
            </w:r>
            <w:r>
              <w:rPr>
                <w:rFonts w:eastAsia="Times New Roman" w:cs="Cordia New"/>
                <w:color w:val="000000" w:themeColor="text1"/>
                <w:sz w:val="20"/>
                <w:szCs w:val="22"/>
              </w:rPr>
              <w:t>97</w:t>
            </w:r>
            <w:r w:rsidRPr="00075DA7">
              <w:rPr>
                <w:rFonts w:eastAsia="Times New Roman" w:cs="Cordia New"/>
                <w:color w:val="000000" w:themeColor="text1"/>
                <w:sz w:val="20"/>
                <w:szCs w:val="22"/>
              </w:rPr>
              <w:t>% completion of BASICS with notes that document families’ strengths and specific areas of need</w:t>
            </w:r>
          </w:p>
        </w:tc>
        <w:tc>
          <w:tcPr>
            <w:tcW w:w="1935" w:type="dxa"/>
            <w:shd w:val="clear" w:color="auto" w:fill="C7EFFF" w:themeFill="accent2" w:themeFillTint="33"/>
          </w:tcPr>
          <w:p w14:paraId="1745580E" w14:textId="45700A60" w:rsidR="000068ED" w:rsidRPr="00075DA7" w:rsidRDefault="000068ED" w:rsidP="000068ED">
            <w:pPr>
              <w:rPr>
                <w:sz w:val="20"/>
                <w:szCs w:val="20"/>
              </w:rPr>
            </w:pPr>
            <w:r w:rsidRPr="00075DA7">
              <w:rPr>
                <w:rFonts w:eastAsia="Times New Roman" w:cs="Cordia New"/>
                <w:color w:val="000000" w:themeColor="text1"/>
                <w:sz w:val="20"/>
                <w:szCs w:val="20"/>
              </w:rPr>
              <w:t xml:space="preserve">The percent and # of completed BASICS Assessments by the total number of completed initial screenings per month </w:t>
            </w:r>
          </w:p>
        </w:tc>
        <w:tc>
          <w:tcPr>
            <w:tcW w:w="1529" w:type="dxa"/>
            <w:shd w:val="clear" w:color="auto" w:fill="C7EFFF" w:themeFill="accent2" w:themeFillTint="33"/>
          </w:tcPr>
          <w:p w14:paraId="4450D629" w14:textId="6C7A5197" w:rsidR="000068ED" w:rsidRPr="00075DA7" w:rsidRDefault="000068ED" w:rsidP="000068ED">
            <w:pPr>
              <w:rPr>
                <w:sz w:val="20"/>
                <w:szCs w:val="20"/>
              </w:rPr>
            </w:pPr>
            <w:r w:rsidRPr="00075DA7">
              <w:rPr>
                <w:rFonts w:eastAsia="Times New Roman" w:cs="Cordia New"/>
                <w:color w:val="000000" w:themeColor="text1"/>
                <w:sz w:val="20"/>
                <w:szCs w:val="20"/>
              </w:rPr>
              <w:t>OhioKAN staff record date of initial call and completed BASICS Assessment in SACWIS</w:t>
            </w:r>
          </w:p>
        </w:tc>
        <w:tc>
          <w:tcPr>
            <w:tcW w:w="2362" w:type="dxa"/>
            <w:shd w:val="clear" w:color="auto" w:fill="C7EFFF" w:themeFill="accent2" w:themeFillTint="33"/>
          </w:tcPr>
          <w:p w14:paraId="1BFDD9C6" w14:textId="77777777" w:rsidR="000068ED" w:rsidRPr="00075DA7" w:rsidRDefault="000068ED" w:rsidP="000068ED">
            <w:pPr>
              <w:rPr>
                <w:rFonts w:eastAsia="Times New Roman" w:cs="Cordia New"/>
                <w:color w:val="000000" w:themeColor="text1"/>
                <w:sz w:val="20"/>
                <w:szCs w:val="20"/>
              </w:rPr>
            </w:pPr>
            <w:r w:rsidRPr="00075DA7">
              <w:rPr>
                <w:rFonts w:eastAsia="Times New Roman" w:cs="Cordia New"/>
                <w:color w:val="000000" w:themeColor="text1"/>
                <w:sz w:val="20"/>
                <w:szCs w:val="20"/>
              </w:rPr>
              <w:t>Daily/Every screened-in call</w:t>
            </w:r>
          </w:p>
          <w:p w14:paraId="6C34C5A6" w14:textId="1EC0AC3C" w:rsidR="000068ED" w:rsidRPr="00075DA7" w:rsidRDefault="000068ED" w:rsidP="000068ED">
            <w:pPr>
              <w:rPr>
                <w:sz w:val="20"/>
                <w:szCs w:val="20"/>
              </w:rPr>
            </w:pPr>
          </w:p>
        </w:tc>
        <w:tc>
          <w:tcPr>
            <w:tcW w:w="1552" w:type="dxa"/>
            <w:shd w:val="clear" w:color="auto" w:fill="C7EFFF" w:themeFill="accent2" w:themeFillTint="33"/>
          </w:tcPr>
          <w:p w14:paraId="73473360" w14:textId="77777777" w:rsidR="000068ED" w:rsidRPr="00075DA7" w:rsidRDefault="000068ED" w:rsidP="000068ED">
            <w:pPr>
              <w:spacing w:line="259" w:lineRule="auto"/>
              <w:rPr>
                <w:rFonts w:eastAsia="Times New Roman" w:cs="Cordia New"/>
                <w:color w:val="000000" w:themeColor="text1"/>
                <w:sz w:val="20"/>
                <w:szCs w:val="20"/>
              </w:rPr>
            </w:pPr>
            <w:r w:rsidRPr="00075DA7">
              <w:rPr>
                <w:rFonts w:eastAsia="Times New Roman" w:cs="Cordia New"/>
                <w:color w:val="000000" w:themeColor="text1"/>
                <w:sz w:val="20"/>
                <w:szCs w:val="20"/>
              </w:rPr>
              <w:t>OhioKAN staff</w:t>
            </w:r>
          </w:p>
          <w:p w14:paraId="3F8F5A94" w14:textId="4EABA534" w:rsidR="000068ED" w:rsidRPr="00075DA7" w:rsidRDefault="000068ED" w:rsidP="000068ED">
            <w:pPr>
              <w:rPr>
                <w:sz w:val="20"/>
                <w:szCs w:val="20"/>
              </w:rPr>
            </w:pPr>
          </w:p>
        </w:tc>
      </w:tr>
      <w:tr w:rsidR="000068ED" w:rsidRPr="00075DA7" w14:paraId="13B6524D" w14:textId="77777777" w:rsidTr="00C30438">
        <w:tc>
          <w:tcPr>
            <w:tcW w:w="1972" w:type="dxa"/>
            <w:shd w:val="clear" w:color="auto" w:fill="C7EFFF" w:themeFill="accent2" w:themeFillTint="33"/>
          </w:tcPr>
          <w:p w14:paraId="4AC2EEB2" w14:textId="03D8C0DD" w:rsidR="000068ED" w:rsidRPr="00075DA7" w:rsidRDefault="000068ED" w:rsidP="000068ED">
            <w:pPr>
              <w:rPr>
                <w:rFonts w:eastAsia="Times New Roman" w:cs="Cordia New"/>
                <w:b/>
                <w:color w:val="000000" w:themeColor="text1"/>
                <w:sz w:val="20"/>
                <w:szCs w:val="20"/>
              </w:rPr>
            </w:pPr>
            <w:r w:rsidRPr="00075DA7">
              <w:rPr>
                <w:rFonts w:eastAsia="Times New Roman" w:cs="Cordia New"/>
                <w:b/>
                <w:color w:val="000000" w:themeColor="text1"/>
                <w:sz w:val="20"/>
                <w:szCs w:val="22"/>
              </w:rPr>
              <w:t xml:space="preserve">Demographics Completion - </w:t>
            </w:r>
            <w:r>
              <w:rPr>
                <w:rFonts w:eastAsia="Times New Roman" w:cs="Cordia New"/>
                <w:color w:val="000000" w:themeColor="text1"/>
                <w:sz w:val="20"/>
                <w:szCs w:val="22"/>
              </w:rPr>
              <w:t>97</w:t>
            </w:r>
            <w:r w:rsidRPr="00075DA7">
              <w:rPr>
                <w:rFonts w:eastAsia="Times New Roman" w:cs="Cordia New"/>
                <w:color w:val="000000" w:themeColor="text1"/>
                <w:sz w:val="20"/>
                <w:szCs w:val="22"/>
              </w:rPr>
              <w:t>% completion of demographics</w:t>
            </w:r>
          </w:p>
        </w:tc>
        <w:tc>
          <w:tcPr>
            <w:tcW w:w="1935" w:type="dxa"/>
            <w:shd w:val="clear" w:color="auto" w:fill="C7EFFF" w:themeFill="accent2" w:themeFillTint="33"/>
          </w:tcPr>
          <w:p w14:paraId="334BF131" w14:textId="1C579D03" w:rsidR="000068ED" w:rsidRPr="00075DA7" w:rsidRDefault="000068ED" w:rsidP="000068ED">
            <w:pPr>
              <w:rPr>
                <w:rFonts w:eastAsia="Times New Roman" w:cs="Cordia New"/>
                <w:color w:val="000000" w:themeColor="text1"/>
                <w:sz w:val="20"/>
                <w:szCs w:val="20"/>
              </w:rPr>
            </w:pPr>
            <w:r w:rsidRPr="00075DA7">
              <w:rPr>
                <w:rFonts w:eastAsia="Times New Roman" w:cs="Cordia New"/>
                <w:color w:val="000000" w:themeColor="text1"/>
                <w:sz w:val="20"/>
                <w:szCs w:val="20"/>
              </w:rPr>
              <w:t xml:space="preserve">The percent of person records with complete demographics data </w:t>
            </w:r>
          </w:p>
        </w:tc>
        <w:tc>
          <w:tcPr>
            <w:tcW w:w="1529" w:type="dxa"/>
            <w:shd w:val="clear" w:color="auto" w:fill="C7EFFF" w:themeFill="accent2" w:themeFillTint="33"/>
          </w:tcPr>
          <w:p w14:paraId="0370A611" w14:textId="5C88E391" w:rsidR="000068ED" w:rsidRPr="00075DA7" w:rsidRDefault="000068ED" w:rsidP="000068ED">
            <w:pPr>
              <w:rPr>
                <w:rFonts w:eastAsia="Times New Roman" w:cs="Cordia New"/>
                <w:color w:val="000000" w:themeColor="text1"/>
                <w:sz w:val="20"/>
                <w:szCs w:val="20"/>
              </w:rPr>
            </w:pPr>
            <w:r w:rsidRPr="00075DA7">
              <w:rPr>
                <w:rFonts w:eastAsia="Times New Roman" w:cs="Cordia New"/>
                <w:color w:val="000000" w:themeColor="text1"/>
                <w:sz w:val="20"/>
                <w:szCs w:val="20"/>
              </w:rPr>
              <w:t>OhioKAN staff record date of initial call and completed the person record(s)</w:t>
            </w:r>
          </w:p>
        </w:tc>
        <w:tc>
          <w:tcPr>
            <w:tcW w:w="2362" w:type="dxa"/>
            <w:shd w:val="clear" w:color="auto" w:fill="C7EFFF" w:themeFill="accent2" w:themeFillTint="33"/>
          </w:tcPr>
          <w:p w14:paraId="0C3CE196" w14:textId="77777777" w:rsidR="000068ED" w:rsidRPr="00075DA7" w:rsidRDefault="000068ED" w:rsidP="000068ED">
            <w:pPr>
              <w:rPr>
                <w:rFonts w:eastAsia="Times New Roman" w:cs="Cordia New"/>
                <w:color w:val="000000" w:themeColor="text1"/>
                <w:sz w:val="20"/>
                <w:szCs w:val="20"/>
              </w:rPr>
            </w:pPr>
            <w:r w:rsidRPr="00075DA7">
              <w:rPr>
                <w:rFonts w:eastAsia="Times New Roman" w:cs="Cordia New"/>
                <w:color w:val="000000" w:themeColor="text1"/>
                <w:sz w:val="20"/>
                <w:szCs w:val="20"/>
              </w:rPr>
              <w:t>Daily/Every screened-in call</w:t>
            </w:r>
          </w:p>
          <w:p w14:paraId="139F95AC" w14:textId="77777777" w:rsidR="000068ED" w:rsidRPr="00075DA7" w:rsidRDefault="000068ED" w:rsidP="000068ED">
            <w:pPr>
              <w:rPr>
                <w:rFonts w:eastAsia="Times New Roman" w:cs="Cordia New"/>
                <w:color w:val="000000" w:themeColor="text1"/>
                <w:sz w:val="20"/>
                <w:szCs w:val="20"/>
              </w:rPr>
            </w:pPr>
          </w:p>
        </w:tc>
        <w:tc>
          <w:tcPr>
            <w:tcW w:w="1552" w:type="dxa"/>
            <w:shd w:val="clear" w:color="auto" w:fill="C7EFFF" w:themeFill="accent2" w:themeFillTint="33"/>
          </w:tcPr>
          <w:p w14:paraId="6C3DA380" w14:textId="1E48C9FB" w:rsidR="000068ED" w:rsidRPr="00075DA7" w:rsidRDefault="000068ED" w:rsidP="000068ED">
            <w:pPr>
              <w:spacing w:line="259" w:lineRule="auto"/>
              <w:rPr>
                <w:rFonts w:eastAsia="Times New Roman" w:cs="Cordia New"/>
                <w:color w:val="000000" w:themeColor="text1"/>
                <w:sz w:val="20"/>
                <w:szCs w:val="20"/>
              </w:rPr>
            </w:pPr>
            <w:r w:rsidRPr="00075DA7">
              <w:rPr>
                <w:rFonts w:eastAsia="Times New Roman" w:cs="Cordia New"/>
                <w:color w:val="000000" w:themeColor="text1"/>
                <w:sz w:val="20"/>
                <w:szCs w:val="20"/>
              </w:rPr>
              <w:t>OhioKAN staff</w:t>
            </w:r>
          </w:p>
        </w:tc>
      </w:tr>
      <w:tr w:rsidR="000068ED" w:rsidRPr="00075DA7" w14:paraId="2A1688A1" w14:textId="77777777" w:rsidTr="003B4D17">
        <w:trPr>
          <w:cnfStyle w:val="000000100000" w:firstRow="0" w:lastRow="0" w:firstColumn="0" w:lastColumn="0" w:oddVBand="0" w:evenVBand="0" w:oddHBand="1" w:evenHBand="0" w:firstRowFirstColumn="0" w:firstRowLastColumn="0" w:lastRowFirstColumn="0" w:lastRowLastColumn="0"/>
        </w:trPr>
        <w:tc>
          <w:tcPr>
            <w:tcW w:w="1972" w:type="dxa"/>
          </w:tcPr>
          <w:p w14:paraId="7F9396ED" w14:textId="35576168" w:rsidR="000068ED" w:rsidRPr="00075DA7" w:rsidRDefault="000068ED" w:rsidP="000068ED">
            <w:pPr>
              <w:rPr>
                <w:rFonts w:eastAsia="Times New Roman" w:cs="Cordia New"/>
                <w:color w:val="000000" w:themeColor="text1"/>
                <w:sz w:val="20"/>
                <w:szCs w:val="20"/>
              </w:rPr>
            </w:pPr>
            <w:r w:rsidRPr="00075DA7">
              <w:rPr>
                <w:rFonts w:eastAsia="Times New Roman" w:cs="Cordia New"/>
                <w:b/>
                <w:color w:val="000000" w:themeColor="text1"/>
                <w:sz w:val="20"/>
                <w:szCs w:val="22"/>
              </w:rPr>
              <w:t>CASP Completion</w:t>
            </w:r>
            <w:r w:rsidRPr="00075DA7">
              <w:rPr>
                <w:rFonts w:eastAsia="Times New Roman" w:cs="Cordia New"/>
                <w:color w:val="000000" w:themeColor="text1"/>
                <w:sz w:val="20"/>
                <w:szCs w:val="22"/>
              </w:rPr>
              <w:t xml:space="preserve"> - The CASP </w:t>
            </w:r>
            <w:r w:rsidR="00244BD4">
              <w:rPr>
                <w:rFonts w:eastAsia="Times New Roman" w:cs="Cordia New"/>
                <w:color w:val="000000" w:themeColor="text1"/>
                <w:sz w:val="20"/>
                <w:szCs w:val="22"/>
              </w:rPr>
              <w:t>Assessment is completed with 97</w:t>
            </w:r>
            <w:r w:rsidRPr="00075DA7">
              <w:rPr>
                <w:rFonts w:eastAsia="Times New Roman" w:cs="Cordia New"/>
                <w:color w:val="000000" w:themeColor="text1"/>
                <w:sz w:val="20"/>
                <w:szCs w:val="22"/>
              </w:rPr>
              <w:t>% of families who have been referred to Collaborate Services (C1 only)</w:t>
            </w:r>
          </w:p>
        </w:tc>
        <w:tc>
          <w:tcPr>
            <w:tcW w:w="1935" w:type="dxa"/>
          </w:tcPr>
          <w:p w14:paraId="0E17F346" w14:textId="393D4BD9" w:rsidR="000068ED" w:rsidRPr="00075DA7" w:rsidRDefault="000068ED" w:rsidP="000068ED">
            <w:pPr>
              <w:rPr>
                <w:sz w:val="20"/>
                <w:szCs w:val="20"/>
              </w:rPr>
            </w:pPr>
            <w:r w:rsidRPr="00075DA7">
              <w:rPr>
                <w:rFonts w:eastAsia="Times New Roman" w:cs="Cordia New"/>
                <w:color w:val="000000" w:themeColor="text1"/>
                <w:sz w:val="20"/>
                <w:szCs w:val="20"/>
              </w:rPr>
              <w:t>Percent CASP completed by all Collaborate service episodes per month (cohort 1 only)</w:t>
            </w:r>
          </w:p>
        </w:tc>
        <w:tc>
          <w:tcPr>
            <w:tcW w:w="1529" w:type="dxa"/>
          </w:tcPr>
          <w:p w14:paraId="7366291E" w14:textId="26E8C7CA" w:rsidR="000068ED" w:rsidRPr="00075DA7" w:rsidRDefault="000068ED" w:rsidP="000068ED">
            <w:pPr>
              <w:rPr>
                <w:sz w:val="20"/>
                <w:szCs w:val="20"/>
              </w:rPr>
            </w:pPr>
            <w:r w:rsidRPr="00075DA7">
              <w:rPr>
                <w:rFonts w:eastAsia="Times New Roman" w:cs="Cordia New"/>
                <w:color w:val="000000" w:themeColor="text1"/>
                <w:sz w:val="20"/>
                <w:szCs w:val="20"/>
              </w:rPr>
              <w:t>OhioKAN staff record date of Collaborate referral and date CASP completed SACWIS (specific field or just in Activity Log)</w:t>
            </w:r>
          </w:p>
        </w:tc>
        <w:tc>
          <w:tcPr>
            <w:tcW w:w="2362" w:type="dxa"/>
          </w:tcPr>
          <w:p w14:paraId="3144605B" w14:textId="0E924649" w:rsidR="000068ED" w:rsidRPr="00075DA7" w:rsidRDefault="000068ED" w:rsidP="000068ED">
            <w:pPr>
              <w:rPr>
                <w:sz w:val="20"/>
                <w:szCs w:val="20"/>
              </w:rPr>
            </w:pPr>
            <w:r w:rsidRPr="00075DA7">
              <w:rPr>
                <w:rFonts w:eastAsia="Times New Roman" w:cs="Cordia New"/>
                <w:color w:val="000000" w:themeColor="text1"/>
                <w:sz w:val="20"/>
                <w:szCs w:val="20"/>
              </w:rPr>
              <w:t>Weekly/depends on caseload cadence</w:t>
            </w:r>
          </w:p>
        </w:tc>
        <w:tc>
          <w:tcPr>
            <w:tcW w:w="1552" w:type="dxa"/>
          </w:tcPr>
          <w:p w14:paraId="273151A9" w14:textId="0D8ADB2C" w:rsidR="000068ED" w:rsidRPr="00075DA7" w:rsidRDefault="000068ED" w:rsidP="000068ED">
            <w:pPr>
              <w:rPr>
                <w:sz w:val="20"/>
                <w:szCs w:val="20"/>
              </w:rPr>
            </w:pPr>
            <w:r w:rsidRPr="00075DA7">
              <w:rPr>
                <w:rFonts w:eastAsia="Times New Roman" w:cs="Cordia New"/>
                <w:color w:val="000000" w:themeColor="text1"/>
                <w:sz w:val="20"/>
                <w:szCs w:val="20"/>
              </w:rPr>
              <w:t>Coaches and Navigators (Collaborate-only staff)</w:t>
            </w:r>
          </w:p>
        </w:tc>
      </w:tr>
      <w:tr w:rsidR="000068ED" w:rsidRPr="00075DA7" w14:paraId="1A7873CF" w14:textId="77777777" w:rsidTr="003B4D17">
        <w:tc>
          <w:tcPr>
            <w:tcW w:w="1972" w:type="dxa"/>
          </w:tcPr>
          <w:p w14:paraId="033C84EA" w14:textId="79BBE8AE" w:rsidR="000068ED" w:rsidRPr="00075DA7" w:rsidRDefault="000068ED" w:rsidP="000068ED">
            <w:pPr>
              <w:rPr>
                <w:rFonts w:eastAsia="Times New Roman" w:cs="Cordia New"/>
                <w:color w:val="000000" w:themeColor="text1"/>
                <w:sz w:val="20"/>
                <w:szCs w:val="20"/>
              </w:rPr>
            </w:pPr>
            <w:r w:rsidRPr="00075DA7">
              <w:rPr>
                <w:rFonts w:eastAsia="Times New Roman" w:cs="Cordia New"/>
                <w:b/>
                <w:color w:val="000000" w:themeColor="text1"/>
                <w:sz w:val="20"/>
                <w:szCs w:val="22"/>
              </w:rPr>
              <w:t>Referral Follow Up Completion</w:t>
            </w:r>
            <w:r w:rsidRPr="00075DA7">
              <w:rPr>
                <w:rFonts w:eastAsia="Times New Roman" w:cs="Cordia New"/>
                <w:color w:val="000000" w:themeColor="text1"/>
                <w:sz w:val="20"/>
                <w:szCs w:val="22"/>
              </w:rPr>
              <w:t xml:space="preserve"> - Referral</w:t>
            </w:r>
            <w:r>
              <w:rPr>
                <w:rFonts w:eastAsia="Times New Roman" w:cs="Cordia New"/>
                <w:color w:val="000000" w:themeColor="text1"/>
                <w:sz w:val="20"/>
                <w:szCs w:val="22"/>
              </w:rPr>
              <w:t xml:space="preserve"> follow up is contacts or contact attempts</w:t>
            </w:r>
            <w:r w:rsidR="00244BD4">
              <w:rPr>
                <w:rFonts w:eastAsia="Times New Roman" w:cs="Cordia New"/>
                <w:color w:val="000000" w:themeColor="text1"/>
                <w:sz w:val="20"/>
                <w:szCs w:val="22"/>
              </w:rPr>
              <w:t xml:space="preserve"> completed with 97</w:t>
            </w:r>
            <w:r w:rsidRPr="00075DA7">
              <w:rPr>
                <w:rFonts w:eastAsia="Times New Roman" w:cs="Cordia New"/>
                <w:color w:val="000000" w:themeColor="text1"/>
                <w:sz w:val="20"/>
                <w:szCs w:val="22"/>
              </w:rPr>
              <w:t>% of families receiving Connect services</w:t>
            </w:r>
          </w:p>
        </w:tc>
        <w:tc>
          <w:tcPr>
            <w:tcW w:w="1935" w:type="dxa"/>
          </w:tcPr>
          <w:p w14:paraId="3D843FDC" w14:textId="032D7DB7" w:rsidR="000068ED" w:rsidRPr="00075DA7" w:rsidRDefault="000068ED" w:rsidP="000068ED">
            <w:pPr>
              <w:rPr>
                <w:sz w:val="20"/>
                <w:szCs w:val="20"/>
              </w:rPr>
            </w:pPr>
            <w:r w:rsidRPr="00075DA7">
              <w:rPr>
                <w:rFonts w:eastAsia="Times New Roman" w:cs="Cordia New"/>
                <w:color w:val="000000" w:themeColor="text1"/>
                <w:sz w:val="20"/>
                <w:szCs w:val="20"/>
              </w:rPr>
              <w:t xml:space="preserve">Percent of Connect service episodes that received a referral follow-up after the referral packet was distributed out of all Connect service episodes per month </w:t>
            </w:r>
          </w:p>
        </w:tc>
        <w:tc>
          <w:tcPr>
            <w:tcW w:w="1529" w:type="dxa"/>
          </w:tcPr>
          <w:p w14:paraId="39837F1F" w14:textId="4B454D13" w:rsidR="000068ED" w:rsidRPr="00075DA7" w:rsidRDefault="000068ED" w:rsidP="000068ED">
            <w:pPr>
              <w:rPr>
                <w:sz w:val="20"/>
                <w:szCs w:val="20"/>
              </w:rPr>
            </w:pPr>
            <w:r w:rsidRPr="00075DA7">
              <w:rPr>
                <w:rFonts w:eastAsia="Times New Roman" w:cs="Cordia New"/>
                <w:color w:val="000000" w:themeColor="text1"/>
                <w:sz w:val="20"/>
                <w:szCs w:val="20"/>
              </w:rPr>
              <w:t>OhioKAN staff enter date referral packet shared with families and date follow-up conducted into SACWIS</w:t>
            </w:r>
          </w:p>
        </w:tc>
        <w:tc>
          <w:tcPr>
            <w:tcW w:w="2362" w:type="dxa"/>
          </w:tcPr>
          <w:p w14:paraId="04B0A9F9" w14:textId="1C9F064F" w:rsidR="000068ED" w:rsidRPr="00075DA7" w:rsidRDefault="000068ED" w:rsidP="000068ED">
            <w:pPr>
              <w:rPr>
                <w:sz w:val="20"/>
                <w:szCs w:val="20"/>
              </w:rPr>
            </w:pPr>
            <w:r w:rsidRPr="00075DA7">
              <w:rPr>
                <w:rFonts w:eastAsia="Times New Roman" w:cs="Cordia New"/>
                <w:color w:val="000000" w:themeColor="text1"/>
                <w:sz w:val="20"/>
                <w:szCs w:val="20"/>
              </w:rPr>
              <w:t>Daily/Weekly/depends on caseload cadence</w:t>
            </w:r>
          </w:p>
        </w:tc>
        <w:tc>
          <w:tcPr>
            <w:tcW w:w="1552" w:type="dxa"/>
          </w:tcPr>
          <w:p w14:paraId="0875638B" w14:textId="2306CCAD" w:rsidR="000068ED" w:rsidRPr="00075DA7" w:rsidRDefault="000068ED" w:rsidP="000068ED">
            <w:pPr>
              <w:rPr>
                <w:sz w:val="20"/>
                <w:szCs w:val="20"/>
              </w:rPr>
            </w:pPr>
            <w:r w:rsidRPr="00075DA7">
              <w:rPr>
                <w:rFonts w:eastAsia="Times New Roman" w:cs="Cordia New"/>
                <w:color w:val="000000" w:themeColor="text1"/>
                <w:sz w:val="20"/>
                <w:szCs w:val="20"/>
              </w:rPr>
              <w:t>OhioKAN staff</w:t>
            </w:r>
          </w:p>
        </w:tc>
      </w:tr>
      <w:tr w:rsidR="000068ED" w:rsidRPr="00075DA7" w14:paraId="14191783" w14:textId="77777777" w:rsidTr="003B4D17">
        <w:trPr>
          <w:cnfStyle w:val="000000100000" w:firstRow="0" w:lastRow="0" w:firstColumn="0" w:lastColumn="0" w:oddVBand="0" w:evenVBand="0" w:oddHBand="1" w:evenHBand="0" w:firstRowFirstColumn="0" w:firstRowLastColumn="0" w:lastRowFirstColumn="0" w:lastRowLastColumn="0"/>
        </w:trPr>
        <w:tc>
          <w:tcPr>
            <w:tcW w:w="1972" w:type="dxa"/>
          </w:tcPr>
          <w:p w14:paraId="1AAA4032" w14:textId="017A4A00" w:rsidR="000068ED" w:rsidRPr="00075DA7" w:rsidRDefault="000068ED" w:rsidP="000068ED">
            <w:pPr>
              <w:rPr>
                <w:rFonts w:eastAsia="Times New Roman" w:cs="Cordia New"/>
                <w:color w:val="000000" w:themeColor="text1"/>
                <w:sz w:val="20"/>
                <w:szCs w:val="20"/>
              </w:rPr>
            </w:pPr>
            <w:r w:rsidRPr="00075DA7">
              <w:rPr>
                <w:rFonts w:eastAsia="Times New Roman" w:cs="Cordia New"/>
                <w:b/>
                <w:color w:val="000000" w:themeColor="text1"/>
                <w:sz w:val="20"/>
                <w:szCs w:val="22"/>
              </w:rPr>
              <w:t>Collaborate service frequency</w:t>
            </w:r>
            <w:r w:rsidR="00244BD4">
              <w:rPr>
                <w:rFonts w:eastAsia="Times New Roman" w:cs="Cordia New"/>
                <w:color w:val="000000" w:themeColor="text1"/>
                <w:sz w:val="20"/>
                <w:szCs w:val="22"/>
              </w:rPr>
              <w:t xml:space="preserve"> – 97</w:t>
            </w:r>
            <w:r w:rsidRPr="00075DA7">
              <w:rPr>
                <w:rFonts w:eastAsia="Times New Roman" w:cs="Cordia New"/>
                <w:color w:val="000000" w:themeColor="text1"/>
                <w:sz w:val="20"/>
                <w:szCs w:val="22"/>
              </w:rPr>
              <w:t xml:space="preserve">% of open collaborate cases should be receiving their desired frequency </w:t>
            </w:r>
            <w:r w:rsidRPr="00075DA7">
              <w:rPr>
                <w:rFonts w:eastAsia="Times New Roman" w:cs="Cordia New"/>
                <w:color w:val="000000" w:themeColor="text1"/>
                <w:sz w:val="20"/>
                <w:szCs w:val="22"/>
              </w:rPr>
              <w:lastRenderedPageBreak/>
              <w:t>of contacts</w:t>
            </w:r>
            <w:r>
              <w:rPr>
                <w:rFonts w:eastAsia="Times New Roman" w:cs="Cordia New"/>
                <w:color w:val="000000" w:themeColor="text1"/>
                <w:sz w:val="20"/>
                <w:szCs w:val="22"/>
              </w:rPr>
              <w:t xml:space="preserve"> or contact attempts (C1 only)</w:t>
            </w:r>
          </w:p>
        </w:tc>
        <w:tc>
          <w:tcPr>
            <w:tcW w:w="1935" w:type="dxa"/>
          </w:tcPr>
          <w:p w14:paraId="79A3B9D0" w14:textId="731C2AFE" w:rsidR="000068ED" w:rsidRPr="00075DA7" w:rsidRDefault="000068ED" w:rsidP="000068ED">
            <w:pPr>
              <w:rPr>
                <w:rFonts w:eastAsia="Times New Roman" w:cs="Cordia New"/>
                <w:color w:val="000000" w:themeColor="text1"/>
                <w:sz w:val="20"/>
                <w:szCs w:val="20"/>
              </w:rPr>
            </w:pPr>
            <w:r w:rsidRPr="00075DA7">
              <w:rPr>
                <w:rFonts w:eastAsia="Times New Roman" w:cs="Cordia New"/>
                <w:color w:val="000000" w:themeColor="text1"/>
                <w:sz w:val="20"/>
                <w:szCs w:val="20"/>
              </w:rPr>
              <w:lastRenderedPageBreak/>
              <w:t xml:space="preserve">Percent of open Collaborate service episodes receiving desired frequency of contacts per </w:t>
            </w:r>
            <w:r w:rsidRPr="00075DA7">
              <w:rPr>
                <w:rFonts w:eastAsia="Times New Roman" w:cs="Cordia New"/>
                <w:color w:val="000000" w:themeColor="text1"/>
                <w:sz w:val="20"/>
                <w:szCs w:val="20"/>
              </w:rPr>
              <w:lastRenderedPageBreak/>
              <w:t>month (cohort 1 only)</w:t>
            </w:r>
          </w:p>
          <w:p w14:paraId="3B19A802" w14:textId="77777777" w:rsidR="000068ED" w:rsidRPr="00075DA7" w:rsidRDefault="000068ED" w:rsidP="000068ED">
            <w:pPr>
              <w:rPr>
                <w:sz w:val="20"/>
                <w:szCs w:val="20"/>
              </w:rPr>
            </w:pPr>
          </w:p>
        </w:tc>
        <w:tc>
          <w:tcPr>
            <w:tcW w:w="1529" w:type="dxa"/>
          </w:tcPr>
          <w:p w14:paraId="11EB4BAA" w14:textId="731A81BE" w:rsidR="000068ED" w:rsidRPr="00075DA7" w:rsidRDefault="000068ED" w:rsidP="000068ED">
            <w:pPr>
              <w:rPr>
                <w:sz w:val="20"/>
                <w:szCs w:val="20"/>
              </w:rPr>
            </w:pPr>
            <w:r w:rsidRPr="00075DA7">
              <w:rPr>
                <w:rFonts w:eastAsia="Times New Roman" w:cs="Cordia New"/>
                <w:color w:val="000000" w:themeColor="text1"/>
                <w:sz w:val="20"/>
                <w:szCs w:val="20"/>
              </w:rPr>
              <w:lastRenderedPageBreak/>
              <w:t>OhioKAN staff record contact frequency in SACWIS</w:t>
            </w:r>
          </w:p>
        </w:tc>
        <w:tc>
          <w:tcPr>
            <w:tcW w:w="2362" w:type="dxa"/>
          </w:tcPr>
          <w:p w14:paraId="34A35CEB" w14:textId="77777777" w:rsidR="000068ED" w:rsidRPr="00075DA7" w:rsidRDefault="000068ED" w:rsidP="000068ED">
            <w:pPr>
              <w:spacing w:line="259" w:lineRule="auto"/>
              <w:rPr>
                <w:rFonts w:eastAsia="Times New Roman" w:cs="Cordia New"/>
                <w:color w:val="000000" w:themeColor="text1"/>
                <w:sz w:val="20"/>
                <w:szCs w:val="20"/>
              </w:rPr>
            </w:pPr>
            <w:r w:rsidRPr="00075DA7">
              <w:rPr>
                <w:rFonts w:eastAsia="Times New Roman" w:cs="Cordia New"/>
                <w:color w:val="000000" w:themeColor="text1"/>
                <w:sz w:val="20"/>
                <w:szCs w:val="20"/>
              </w:rPr>
              <w:t>Daily/Weekly/</w:t>
            </w:r>
          </w:p>
          <w:p w14:paraId="0AC26199" w14:textId="7A306E12" w:rsidR="000068ED" w:rsidRPr="00075DA7" w:rsidRDefault="000068ED" w:rsidP="000068ED">
            <w:pPr>
              <w:rPr>
                <w:sz w:val="20"/>
                <w:szCs w:val="20"/>
              </w:rPr>
            </w:pPr>
            <w:r w:rsidRPr="00075DA7">
              <w:rPr>
                <w:rFonts w:eastAsia="Times New Roman" w:cs="Cordia New"/>
                <w:color w:val="000000" w:themeColor="text1"/>
                <w:sz w:val="20"/>
                <w:szCs w:val="20"/>
              </w:rPr>
              <w:t>depends on family contact preference</w:t>
            </w:r>
          </w:p>
        </w:tc>
        <w:tc>
          <w:tcPr>
            <w:tcW w:w="1552" w:type="dxa"/>
          </w:tcPr>
          <w:p w14:paraId="5E26DDD5" w14:textId="6F55CB83" w:rsidR="000068ED" w:rsidRPr="00075DA7" w:rsidRDefault="000068ED" w:rsidP="000068ED">
            <w:pPr>
              <w:rPr>
                <w:sz w:val="20"/>
                <w:szCs w:val="20"/>
              </w:rPr>
            </w:pPr>
            <w:r w:rsidRPr="00075DA7">
              <w:rPr>
                <w:rFonts w:eastAsia="Times New Roman" w:cs="Cordia New"/>
                <w:color w:val="000000" w:themeColor="text1"/>
                <w:sz w:val="20"/>
                <w:szCs w:val="20"/>
              </w:rPr>
              <w:t xml:space="preserve">Coaches and navigators </w:t>
            </w:r>
          </w:p>
        </w:tc>
      </w:tr>
      <w:tr w:rsidR="000068ED" w:rsidRPr="00075DA7" w14:paraId="4906711B" w14:textId="77777777" w:rsidTr="003B4D17">
        <w:tc>
          <w:tcPr>
            <w:tcW w:w="1972" w:type="dxa"/>
          </w:tcPr>
          <w:p w14:paraId="1ACFC478" w14:textId="37F85F4F" w:rsidR="000068ED" w:rsidRPr="00075DA7" w:rsidRDefault="000068ED" w:rsidP="000068ED">
            <w:pPr>
              <w:rPr>
                <w:rFonts w:eastAsia="Times New Roman" w:cs="Cordia New"/>
                <w:color w:val="000000" w:themeColor="text1"/>
                <w:sz w:val="20"/>
                <w:szCs w:val="20"/>
              </w:rPr>
            </w:pPr>
            <w:r w:rsidRPr="00075DA7">
              <w:rPr>
                <w:rFonts w:eastAsia="Times New Roman" w:cs="Cordia New"/>
                <w:b/>
                <w:bCs/>
                <w:color w:val="000000" w:themeColor="text1"/>
                <w:sz w:val="20"/>
                <w:szCs w:val="22"/>
              </w:rPr>
              <w:t>R</w:t>
            </w:r>
            <w:r>
              <w:rPr>
                <w:rFonts w:eastAsia="Times New Roman" w:cs="Cordia New"/>
                <w:b/>
                <w:bCs/>
                <w:color w:val="000000" w:themeColor="text1"/>
                <w:sz w:val="20"/>
                <w:szCs w:val="22"/>
              </w:rPr>
              <w:t xml:space="preserve">eferrals Provided </w:t>
            </w:r>
            <w:r w:rsidR="00244BD4">
              <w:rPr>
                <w:rFonts w:eastAsia="Times New Roman" w:cs="Cordia New"/>
                <w:color w:val="000000" w:themeColor="text1"/>
                <w:sz w:val="20"/>
                <w:szCs w:val="22"/>
              </w:rPr>
              <w:t>– 97</w:t>
            </w:r>
            <w:r w:rsidRPr="00075DA7">
              <w:rPr>
                <w:rFonts w:eastAsia="Times New Roman" w:cs="Cordia New"/>
                <w:color w:val="000000" w:themeColor="text1"/>
                <w:sz w:val="20"/>
                <w:szCs w:val="22"/>
              </w:rPr>
              <w:t>% of parents/caregivers who comp</w:t>
            </w:r>
            <w:r>
              <w:rPr>
                <w:rFonts w:eastAsia="Times New Roman" w:cs="Cordia New"/>
                <w:color w:val="000000" w:themeColor="text1"/>
                <w:sz w:val="20"/>
                <w:szCs w:val="22"/>
              </w:rPr>
              <w:t>lete a BASICS are provided with</w:t>
            </w:r>
            <w:r w:rsidRPr="00075DA7">
              <w:rPr>
                <w:rFonts w:eastAsia="Times New Roman" w:cs="Cordia New"/>
                <w:color w:val="000000" w:themeColor="text1"/>
                <w:sz w:val="20"/>
                <w:szCs w:val="22"/>
              </w:rPr>
              <w:t xml:space="preserve"> a referral packet</w:t>
            </w:r>
          </w:p>
        </w:tc>
        <w:tc>
          <w:tcPr>
            <w:tcW w:w="1935" w:type="dxa"/>
          </w:tcPr>
          <w:p w14:paraId="3F63678A" w14:textId="68082066" w:rsidR="000068ED" w:rsidRPr="00075DA7" w:rsidRDefault="000068ED" w:rsidP="000068ED">
            <w:pPr>
              <w:rPr>
                <w:sz w:val="20"/>
                <w:szCs w:val="20"/>
              </w:rPr>
            </w:pPr>
            <w:r w:rsidRPr="00075DA7">
              <w:rPr>
                <w:rFonts w:eastAsia="Times New Roman" w:cs="Cordia New"/>
                <w:color w:val="000000" w:themeColor="text1"/>
                <w:sz w:val="20"/>
                <w:szCs w:val="20"/>
              </w:rPr>
              <w:t xml:space="preserve">Percent and # of distributed service referral packets by the total number of BASICS Assessments completed per month </w:t>
            </w:r>
          </w:p>
        </w:tc>
        <w:tc>
          <w:tcPr>
            <w:tcW w:w="1529" w:type="dxa"/>
          </w:tcPr>
          <w:p w14:paraId="6EAF8C96" w14:textId="5AF0419F" w:rsidR="000068ED" w:rsidRPr="00075DA7" w:rsidRDefault="000068ED" w:rsidP="000068ED">
            <w:pPr>
              <w:rPr>
                <w:sz w:val="20"/>
                <w:szCs w:val="20"/>
              </w:rPr>
            </w:pPr>
            <w:r w:rsidRPr="00075DA7">
              <w:rPr>
                <w:rFonts w:eastAsia="Times New Roman" w:cs="Cordia New"/>
                <w:color w:val="000000" w:themeColor="text1"/>
                <w:sz w:val="20"/>
                <w:szCs w:val="20"/>
              </w:rPr>
              <w:t>OhioKAN staff enter referrals and date shared into SACWIS</w:t>
            </w:r>
          </w:p>
        </w:tc>
        <w:tc>
          <w:tcPr>
            <w:tcW w:w="2362" w:type="dxa"/>
          </w:tcPr>
          <w:p w14:paraId="5FB154D2" w14:textId="2EFBAC6A" w:rsidR="000068ED" w:rsidRPr="00075DA7" w:rsidRDefault="000068ED" w:rsidP="000068ED">
            <w:pPr>
              <w:rPr>
                <w:sz w:val="20"/>
                <w:szCs w:val="20"/>
              </w:rPr>
            </w:pPr>
            <w:r w:rsidRPr="00075DA7">
              <w:rPr>
                <w:rFonts w:eastAsia="Times New Roman" w:cs="Cordia New"/>
                <w:color w:val="000000" w:themeColor="text1"/>
                <w:sz w:val="20"/>
                <w:szCs w:val="20"/>
              </w:rPr>
              <w:t>Daily/Every screened-in call</w:t>
            </w:r>
          </w:p>
        </w:tc>
        <w:tc>
          <w:tcPr>
            <w:tcW w:w="1552" w:type="dxa"/>
          </w:tcPr>
          <w:p w14:paraId="310FDFB8" w14:textId="496D4452" w:rsidR="000068ED" w:rsidRPr="00075DA7" w:rsidRDefault="000068ED" w:rsidP="000068ED">
            <w:pPr>
              <w:rPr>
                <w:sz w:val="20"/>
                <w:szCs w:val="20"/>
              </w:rPr>
            </w:pPr>
            <w:r w:rsidRPr="00075DA7">
              <w:rPr>
                <w:rFonts w:eastAsia="Times New Roman" w:cs="Cordia New"/>
                <w:color w:val="000000" w:themeColor="text1"/>
                <w:sz w:val="20"/>
                <w:szCs w:val="20"/>
              </w:rPr>
              <w:t>OhioKAN staff</w:t>
            </w:r>
          </w:p>
        </w:tc>
      </w:tr>
      <w:tr w:rsidR="000068ED" w:rsidRPr="00075DA7" w14:paraId="66261096" w14:textId="77777777" w:rsidTr="00075DA7">
        <w:trPr>
          <w:cnfStyle w:val="000000100000" w:firstRow="0" w:lastRow="0" w:firstColumn="0" w:lastColumn="0" w:oddVBand="0" w:evenVBand="0" w:oddHBand="1" w:evenHBand="0" w:firstRowFirstColumn="0" w:firstRowLastColumn="0" w:lastRowFirstColumn="0" w:lastRowLastColumn="0"/>
        </w:trPr>
        <w:tc>
          <w:tcPr>
            <w:tcW w:w="1972" w:type="dxa"/>
            <w:shd w:val="clear" w:color="auto" w:fill="C7EFFF" w:themeFill="accent2" w:themeFillTint="33"/>
          </w:tcPr>
          <w:p w14:paraId="01BA3037" w14:textId="77777777" w:rsidR="000068ED" w:rsidRPr="00075DA7" w:rsidRDefault="000068ED" w:rsidP="000068ED">
            <w:pPr>
              <w:rPr>
                <w:rFonts w:eastAsia="Times New Roman" w:cs="Cordia New"/>
                <w:b/>
                <w:color w:val="000000" w:themeColor="text1"/>
                <w:sz w:val="20"/>
                <w:szCs w:val="22"/>
              </w:rPr>
            </w:pPr>
            <w:r w:rsidRPr="00075DA7">
              <w:rPr>
                <w:rFonts w:eastAsia="Times New Roman" w:cs="Cordia New"/>
                <w:b/>
                <w:color w:val="000000" w:themeColor="text1"/>
                <w:sz w:val="20"/>
                <w:szCs w:val="22"/>
              </w:rPr>
              <w:t xml:space="preserve">Observation Rubric Score – </w:t>
            </w:r>
          </w:p>
          <w:p w14:paraId="2A919F31" w14:textId="5ED86820" w:rsidR="000068ED" w:rsidRPr="00075DA7" w:rsidRDefault="000068ED" w:rsidP="000068ED">
            <w:pPr>
              <w:rPr>
                <w:rFonts w:eastAsia="Times New Roman" w:cs="Cordia New"/>
                <w:b/>
                <w:color w:val="000000" w:themeColor="text1"/>
                <w:sz w:val="20"/>
                <w:szCs w:val="20"/>
              </w:rPr>
            </w:pPr>
            <w:r>
              <w:rPr>
                <w:rFonts w:eastAsia="Times New Roman" w:cs="Cordia New"/>
                <w:color w:val="000000" w:themeColor="text1"/>
                <w:sz w:val="20"/>
                <w:szCs w:val="22"/>
              </w:rPr>
              <w:t>3</w:t>
            </w:r>
            <w:r w:rsidRPr="00075DA7">
              <w:rPr>
                <w:rFonts w:eastAsia="Times New Roman" w:cs="Cordia New"/>
                <w:color w:val="000000" w:themeColor="text1"/>
                <w:sz w:val="20"/>
                <w:szCs w:val="22"/>
              </w:rPr>
              <w:t xml:space="preserve"> or higher for Setting Expectations, Active Listening, Opened Ended Questions and identifying Urgent/Complex needs.</w:t>
            </w:r>
          </w:p>
        </w:tc>
        <w:tc>
          <w:tcPr>
            <w:tcW w:w="1935" w:type="dxa"/>
            <w:shd w:val="clear" w:color="auto" w:fill="C7EFFF" w:themeFill="accent2" w:themeFillTint="33"/>
          </w:tcPr>
          <w:p w14:paraId="2F94E9B4" w14:textId="4ACE48CB" w:rsidR="000068ED" w:rsidRPr="00075DA7" w:rsidRDefault="000068ED" w:rsidP="000068ED">
            <w:pPr>
              <w:rPr>
                <w:rFonts w:eastAsia="Times New Roman" w:cs="Cordia New"/>
                <w:color w:val="000000" w:themeColor="text1"/>
                <w:sz w:val="20"/>
                <w:szCs w:val="20"/>
              </w:rPr>
            </w:pPr>
            <w:r w:rsidRPr="00075DA7">
              <w:rPr>
                <w:rFonts w:eastAsia="Times New Roman" w:cs="Cordia New"/>
                <w:color w:val="000000" w:themeColor="text1"/>
                <w:sz w:val="20"/>
                <w:szCs w:val="20"/>
              </w:rPr>
              <w:t>Average score from the observation rubric</w:t>
            </w:r>
          </w:p>
        </w:tc>
        <w:tc>
          <w:tcPr>
            <w:tcW w:w="1529" w:type="dxa"/>
            <w:shd w:val="clear" w:color="auto" w:fill="C7EFFF" w:themeFill="accent2" w:themeFillTint="33"/>
          </w:tcPr>
          <w:p w14:paraId="7ED65C21" w14:textId="26239A90" w:rsidR="000068ED" w:rsidRPr="00075DA7" w:rsidRDefault="000068ED" w:rsidP="000068ED">
            <w:pPr>
              <w:rPr>
                <w:rFonts w:eastAsia="Times New Roman" w:cs="Cordia New"/>
                <w:color w:val="000000"/>
                <w:sz w:val="20"/>
                <w:szCs w:val="20"/>
              </w:rPr>
            </w:pPr>
            <w:r w:rsidRPr="00075DA7">
              <w:rPr>
                <w:rFonts w:eastAsia="Times New Roman" w:cs="Cordia New"/>
                <w:color w:val="000000"/>
                <w:sz w:val="20"/>
                <w:szCs w:val="20"/>
              </w:rPr>
              <w:t>Coaches observe OhioKAN staff providing navigation services each month using the observation rubric</w:t>
            </w:r>
          </w:p>
        </w:tc>
        <w:tc>
          <w:tcPr>
            <w:tcW w:w="2362" w:type="dxa"/>
            <w:shd w:val="clear" w:color="auto" w:fill="C7EFFF" w:themeFill="accent2" w:themeFillTint="33"/>
          </w:tcPr>
          <w:p w14:paraId="0099519B" w14:textId="60B561EF" w:rsidR="000068ED" w:rsidRPr="00075DA7" w:rsidRDefault="000068ED" w:rsidP="000068ED">
            <w:pPr>
              <w:rPr>
                <w:rFonts w:eastAsia="Times New Roman" w:cs="Cordia New"/>
                <w:color w:val="000000"/>
                <w:sz w:val="20"/>
                <w:szCs w:val="20"/>
              </w:rPr>
            </w:pPr>
            <w:r w:rsidRPr="00075DA7">
              <w:rPr>
                <w:rFonts w:eastAsia="Times New Roman" w:cs="Cordia New"/>
                <w:color w:val="000000"/>
                <w:sz w:val="20"/>
                <w:szCs w:val="20"/>
              </w:rPr>
              <w:t>Monthly</w:t>
            </w:r>
          </w:p>
        </w:tc>
        <w:tc>
          <w:tcPr>
            <w:tcW w:w="1552" w:type="dxa"/>
            <w:shd w:val="clear" w:color="auto" w:fill="C7EFFF" w:themeFill="accent2" w:themeFillTint="33"/>
          </w:tcPr>
          <w:p w14:paraId="14DC6547" w14:textId="713DBD89" w:rsidR="000068ED" w:rsidRPr="00075DA7" w:rsidRDefault="000068ED" w:rsidP="000068ED">
            <w:pPr>
              <w:rPr>
                <w:rFonts w:eastAsia="Times New Roman" w:cs="Cordia New"/>
                <w:color w:val="000000"/>
                <w:sz w:val="20"/>
                <w:szCs w:val="20"/>
              </w:rPr>
            </w:pPr>
            <w:r w:rsidRPr="00075DA7">
              <w:rPr>
                <w:rFonts w:eastAsia="Times New Roman" w:cs="Cordia New"/>
                <w:color w:val="000000"/>
                <w:sz w:val="20"/>
                <w:szCs w:val="20"/>
              </w:rPr>
              <w:t>Coaches</w:t>
            </w:r>
          </w:p>
        </w:tc>
      </w:tr>
    </w:tbl>
    <w:p w14:paraId="45DD98C5" w14:textId="77777777" w:rsidR="00905A7B" w:rsidRPr="00FD7DA5" w:rsidRDefault="00905A7B" w:rsidP="00A83724"/>
    <w:sectPr w:rsidR="00905A7B" w:rsidRPr="00FD7DA5" w:rsidSect="00B41868">
      <w:headerReference w:type="default" r:id="rId11"/>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68D467" w16cex:dateUtc="2020-12-09T18:21:13.331Z"/>
  <w16cex:commentExtensible w16cex:durableId="5A277A55" w16cex:dateUtc="2020-12-09T18:23:05.492Z"/>
  <w16cex:commentExtensible w16cex:durableId="7CF45911" w16cex:dateUtc="2020-12-09T18:24:17.827Z"/>
</w16cex:commentsExtensible>
</file>

<file path=word/commentsIds.xml><?xml version="1.0" encoding="utf-8"?>
<w16cid:commentsIds xmlns:mc="http://schemas.openxmlformats.org/markup-compatibility/2006" xmlns:w16cid="http://schemas.microsoft.com/office/word/2016/wordml/cid" mc:Ignorable="w16cid">
  <w16cid:commentId w16cid:paraId="2D397FA4" w16cid:durableId="1068D467"/>
  <w16cid:commentId w16cid:paraId="20901850" w16cid:durableId="5A277A55"/>
  <w16cid:commentId w16cid:paraId="14FE9C58" w16cid:durableId="7CF459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A4D2C" w14:textId="77777777" w:rsidR="00057E5E" w:rsidRDefault="00057E5E" w:rsidP="00FA5A45">
      <w:r>
        <w:separator/>
      </w:r>
    </w:p>
  </w:endnote>
  <w:endnote w:type="continuationSeparator" w:id="0">
    <w:p w14:paraId="01318681" w14:textId="77777777" w:rsidR="00057E5E" w:rsidRDefault="00057E5E" w:rsidP="00FA5A45">
      <w:r>
        <w:continuationSeparator/>
      </w:r>
    </w:p>
  </w:endnote>
  <w:endnote w:type="continuationNotice" w:id="1">
    <w:p w14:paraId="2F474A18" w14:textId="77777777" w:rsidR="00057E5E" w:rsidRDefault="00057E5E" w:rsidP="00FA5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mnes">
    <w:panose1 w:val="02000506040000020004"/>
    <w:charset w:val="00"/>
    <w:family w:val="auto"/>
    <w:pitch w:val="variable"/>
    <w:sig w:usb0="A00000AF" w:usb1="40000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974B1" w14:textId="77777777" w:rsidR="00057E5E" w:rsidRDefault="00057E5E" w:rsidP="00FA5A45">
      <w:r>
        <w:separator/>
      </w:r>
    </w:p>
  </w:footnote>
  <w:footnote w:type="continuationSeparator" w:id="0">
    <w:p w14:paraId="2753AE43" w14:textId="77777777" w:rsidR="00057E5E" w:rsidRDefault="00057E5E" w:rsidP="00FA5A45">
      <w:r>
        <w:continuationSeparator/>
      </w:r>
    </w:p>
  </w:footnote>
  <w:footnote w:type="continuationNotice" w:id="1">
    <w:p w14:paraId="4D026675" w14:textId="77777777" w:rsidR="00057E5E" w:rsidRDefault="00057E5E" w:rsidP="00FA5A4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8B21F" w14:textId="3F3AF010" w:rsidR="00672C7C" w:rsidRDefault="1DB19F73" w:rsidP="00A83724">
    <w:pPr>
      <w:pStyle w:val="Heading1"/>
    </w:pPr>
    <w:r w:rsidRPr="00E614D1">
      <w:rPr>
        <w:noProof/>
        <w:color w:val="2B579A"/>
        <w:shd w:val="clear" w:color="auto" w:fill="E6E6E6"/>
      </w:rPr>
      <w:drawing>
        <wp:anchor distT="0" distB="0" distL="114300" distR="114300" simplePos="0" relativeHeight="251658240" behindDoc="0" locked="0" layoutInCell="1" allowOverlap="1" wp14:anchorId="5AE48CBF" wp14:editId="1EB5B6F8">
          <wp:simplePos x="0" y="0"/>
          <wp:positionH relativeFrom="margin">
            <wp:align>left</wp:align>
          </wp:positionH>
          <wp:positionV relativeFrom="paragraph">
            <wp:posOffset>0</wp:posOffset>
          </wp:positionV>
          <wp:extent cx="2274277" cy="457200"/>
          <wp:effectExtent l="0" t="0" r="0" b="0"/>
          <wp:wrapSquare wrapText="bothSides"/>
          <wp:docPr id="4981799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274277" cy="457200"/>
                  </a:xfrm>
                  <a:prstGeom prst="rect">
                    <a:avLst/>
                  </a:prstGeom>
                </pic:spPr>
              </pic:pic>
            </a:graphicData>
          </a:graphic>
        </wp:anchor>
      </w:drawing>
    </w:r>
    <w:r w:rsidR="5B30784D" w:rsidRPr="00E614D1">
      <w:t>Performance Management Framework</w:t>
    </w:r>
  </w:p>
  <w:p w14:paraId="53187AF7" w14:textId="77777777" w:rsidR="00A83724" w:rsidRPr="00A83724" w:rsidRDefault="00A83724" w:rsidP="00A8372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D2402"/>
    <w:multiLevelType w:val="hybridMultilevel"/>
    <w:tmpl w:val="A92EFE74"/>
    <w:lvl w:ilvl="0" w:tplc="BBF06C0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27A4E"/>
    <w:multiLevelType w:val="hybridMultilevel"/>
    <w:tmpl w:val="BD78409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FE32FF1"/>
    <w:multiLevelType w:val="hybridMultilevel"/>
    <w:tmpl w:val="F288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23A64"/>
    <w:multiLevelType w:val="hybridMultilevel"/>
    <w:tmpl w:val="AE966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7852F6"/>
    <w:multiLevelType w:val="hybridMultilevel"/>
    <w:tmpl w:val="9DF8B4AC"/>
    <w:lvl w:ilvl="0" w:tplc="27E4B82A">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81A2109"/>
    <w:multiLevelType w:val="hybridMultilevel"/>
    <w:tmpl w:val="2B722B64"/>
    <w:lvl w:ilvl="0" w:tplc="F61ACFAC">
      <w:start w:val="1"/>
      <w:numFmt w:val="decimal"/>
      <w:lvlText w:val="%1."/>
      <w:lvlJc w:val="left"/>
      <w:pPr>
        <w:ind w:left="720" w:hanging="360"/>
      </w:pPr>
    </w:lvl>
    <w:lvl w:ilvl="1" w:tplc="A0FED4CE">
      <w:start w:val="1"/>
      <w:numFmt w:val="lowerLetter"/>
      <w:lvlText w:val="%2."/>
      <w:lvlJc w:val="left"/>
      <w:pPr>
        <w:ind w:left="1440" w:hanging="360"/>
      </w:pPr>
    </w:lvl>
    <w:lvl w:ilvl="2" w:tplc="A55EA77E">
      <w:start w:val="1"/>
      <w:numFmt w:val="lowerRoman"/>
      <w:lvlText w:val="%3."/>
      <w:lvlJc w:val="right"/>
      <w:pPr>
        <w:ind w:left="2160" w:hanging="180"/>
      </w:pPr>
    </w:lvl>
    <w:lvl w:ilvl="3" w:tplc="32A68674">
      <w:start w:val="1"/>
      <w:numFmt w:val="decimal"/>
      <w:lvlText w:val="%4."/>
      <w:lvlJc w:val="left"/>
      <w:pPr>
        <w:ind w:left="2880" w:hanging="360"/>
      </w:pPr>
    </w:lvl>
    <w:lvl w:ilvl="4" w:tplc="90D0012A">
      <w:start w:val="1"/>
      <w:numFmt w:val="lowerLetter"/>
      <w:lvlText w:val="%5."/>
      <w:lvlJc w:val="left"/>
      <w:pPr>
        <w:ind w:left="3600" w:hanging="360"/>
      </w:pPr>
    </w:lvl>
    <w:lvl w:ilvl="5" w:tplc="13FE6AFA">
      <w:start w:val="1"/>
      <w:numFmt w:val="lowerRoman"/>
      <w:lvlText w:val="%6."/>
      <w:lvlJc w:val="right"/>
      <w:pPr>
        <w:ind w:left="4320" w:hanging="180"/>
      </w:pPr>
    </w:lvl>
    <w:lvl w:ilvl="6" w:tplc="56C09320">
      <w:start w:val="1"/>
      <w:numFmt w:val="decimal"/>
      <w:lvlText w:val="%7."/>
      <w:lvlJc w:val="left"/>
      <w:pPr>
        <w:ind w:left="5040" w:hanging="360"/>
      </w:pPr>
    </w:lvl>
    <w:lvl w:ilvl="7" w:tplc="A5902868">
      <w:start w:val="1"/>
      <w:numFmt w:val="lowerLetter"/>
      <w:lvlText w:val="%8."/>
      <w:lvlJc w:val="left"/>
      <w:pPr>
        <w:ind w:left="5760" w:hanging="360"/>
      </w:pPr>
    </w:lvl>
    <w:lvl w:ilvl="8" w:tplc="A726F31A">
      <w:start w:val="1"/>
      <w:numFmt w:val="lowerRoman"/>
      <w:lvlText w:val="%9."/>
      <w:lvlJc w:val="right"/>
      <w:pPr>
        <w:ind w:left="6480" w:hanging="180"/>
      </w:pPr>
    </w:lvl>
  </w:abstractNum>
  <w:abstractNum w:abstractNumId="6" w15:restartNumberingAfterBreak="0">
    <w:nsid w:val="5B4530B0"/>
    <w:multiLevelType w:val="hybridMultilevel"/>
    <w:tmpl w:val="3E9C703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6A521DCD"/>
    <w:multiLevelType w:val="hybridMultilevel"/>
    <w:tmpl w:val="15BE6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5969BC"/>
    <w:multiLevelType w:val="multilevel"/>
    <w:tmpl w:val="E2BCDAA4"/>
    <w:lvl w:ilvl="0">
      <w:start w:val="1"/>
      <w:numFmt w:val="decimal"/>
      <w:lvlText w:val="%1"/>
      <w:lvlJc w:val="left"/>
      <w:pPr>
        <w:ind w:left="420" w:hanging="420"/>
      </w:pPr>
      <w:rPr>
        <w:rFonts w:hint="default"/>
      </w:rPr>
    </w:lvl>
    <w:lvl w:ilvl="1">
      <w:start w:val="1"/>
      <w:numFmt w:val="decimalZero"/>
      <w:lvlText w:val="%1.%2"/>
      <w:lvlJc w:val="left"/>
      <w:pPr>
        <w:ind w:left="2220" w:hanging="4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9" w15:restartNumberingAfterBreak="0">
    <w:nsid w:val="76EA525F"/>
    <w:multiLevelType w:val="hybridMultilevel"/>
    <w:tmpl w:val="8512A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32079D"/>
    <w:multiLevelType w:val="hybridMultilevel"/>
    <w:tmpl w:val="7946F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8"/>
  </w:num>
  <w:num w:numId="6">
    <w:abstractNumId w:val="6"/>
  </w:num>
  <w:num w:numId="7">
    <w:abstractNumId w:val="7"/>
  </w:num>
  <w:num w:numId="8">
    <w:abstractNumId w:val="9"/>
  </w:num>
  <w:num w:numId="9">
    <w:abstractNumId w:val="5"/>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7C"/>
    <w:rsid w:val="00006270"/>
    <w:rsid w:val="000068ED"/>
    <w:rsid w:val="0003478D"/>
    <w:rsid w:val="00057E5E"/>
    <w:rsid w:val="00067780"/>
    <w:rsid w:val="00075DA7"/>
    <w:rsid w:val="000769FE"/>
    <w:rsid w:val="000800EC"/>
    <w:rsid w:val="0009351D"/>
    <w:rsid w:val="000A4619"/>
    <w:rsid w:val="000B67E7"/>
    <w:rsid w:val="000C11BD"/>
    <w:rsid w:val="000C3F88"/>
    <w:rsid w:val="000C6950"/>
    <w:rsid w:val="000E30AA"/>
    <w:rsid w:val="001257C1"/>
    <w:rsid w:val="00125AE0"/>
    <w:rsid w:val="00157817"/>
    <w:rsid w:val="00157EC0"/>
    <w:rsid w:val="00175620"/>
    <w:rsid w:val="001A2791"/>
    <w:rsid w:val="001B4F90"/>
    <w:rsid w:val="001E55EF"/>
    <w:rsid w:val="001F1A70"/>
    <w:rsid w:val="001F79AE"/>
    <w:rsid w:val="002022A3"/>
    <w:rsid w:val="002207E4"/>
    <w:rsid w:val="00240B20"/>
    <w:rsid w:val="00244BD4"/>
    <w:rsid w:val="00260AE5"/>
    <w:rsid w:val="0027251C"/>
    <w:rsid w:val="00284F93"/>
    <w:rsid w:val="002A0EE7"/>
    <w:rsid w:val="002C3C82"/>
    <w:rsid w:val="002F0142"/>
    <w:rsid w:val="002F68FB"/>
    <w:rsid w:val="00304029"/>
    <w:rsid w:val="0032717F"/>
    <w:rsid w:val="00342410"/>
    <w:rsid w:val="003458AE"/>
    <w:rsid w:val="003566CB"/>
    <w:rsid w:val="0036050B"/>
    <w:rsid w:val="0036397F"/>
    <w:rsid w:val="003B393D"/>
    <w:rsid w:val="003B4D17"/>
    <w:rsid w:val="003B5640"/>
    <w:rsid w:val="003B7ECF"/>
    <w:rsid w:val="003C4C53"/>
    <w:rsid w:val="003D5D40"/>
    <w:rsid w:val="003E12BD"/>
    <w:rsid w:val="003E6B6D"/>
    <w:rsid w:val="003F57DB"/>
    <w:rsid w:val="00414888"/>
    <w:rsid w:val="0042110D"/>
    <w:rsid w:val="0046346B"/>
    <w:rsid w:val="004663E0"/>
    <w:rsid w:val="004768CF"/>
    <w:rsid w:val="00495A89"/>
    <w:rsid w:val="004B2098"/>
    <w:rsid w:val="004C4191"/>
    <w:rsid w:val="004D34D4"/>
    <w:rsid w:val="004D36A1"/>
    <w:rsid w:val="004F4924"/>
    <w:rsid w:val="0052313A"/>
    <w:rsid w:val="00533404"/>
    <w:rsid w:val="005368BB"/>
    <w:rsid w:val="00551EDE"/>
    <w:rsid w:val="005530D1"/>
    <w:rsid w:val="005770F9"/>
    <w:rsid w:val="005A762F"/>
    <w:rsid w:val="00604547"/>
    <w:rsid w:val="00627BD6"/>
    <w:rsid w:val="00646794"/>
    <w:rsid w:val="00672C7C"/>
    <w:rsid w:val="006B4B92"/>
    <w:rsid w:val="006B4DF6"/>
    <w:rsid w:val="006C5ABB"/>
    <w:rsid w:val="006D19B2"/>
    <w:rsid w:val="006E7728"/>
    <w:rsid w:val="00715F5A"/>
    <w:rsid w:val="00734147"/>
    <w:rsid w:val="007403FE"/>
    <w:rsid w:val="00747C8F"/>
    <w:rsid w:val="00764979"/>
    <w:rsid w:val="0076626E"/>
    <w:rsid w:val="00767FF0"/>
    <w:rsid w:val="00771703"/>
    <w:rsid w:val="00772FF0"/>
    <w:rsid w:val="00775A6E"/>
    <w:rsid w:val="0078226A"/>
    <w:rsid w:val="007916E9"/>
    <w:rsid w:val="00795B1C"/>
    <w:rsid w:val="007A48DE"/>
    <w:rsid w:val="007A6215"/>
    <w:rsid w:val="007D2FF3"/>
    <w:rsid w:val="007D78B7"/>
    <w:rsid w:val="007E04C6"/>
    <w:rsid w:val="007F2EED"/>
    <w:rsid w:val="007F5697"/>
    <w:rsid w:val="0080197D"/>
    <w:rsid w:val="00803A62"/>
    <w:rsid w:val="00826CAE"/>
    <w:rsid w:val="00843FE0"/>
    <w:rsid w:val="00852D98"/>
    <w:rsid w:val="00864C08"/>
    <w:rsid w:val="00872414"/>
    <w:rsid w:val="0087644D"/>
    <w:rsid w:val="0089778A"/>
    <w:rsid w:val="008C5B23"/>
    <w:rsid w:val="008C7627"/>
    <w:rsid w:val="008E7E77"/>
    <w:rsid w:val="00902548"/>
    <w:rsid w:val="00905A7B"/>
    <w:rsid w:val="0092058F"/>
    <w:rsid w:val="009243C3"/>
    <w:rsid w:val="009475C2"/>
    <w:rsid w:val="00947DF4"/>
    <w:rsid w:val="00951468"/>
    <w:rsid w:val="00953F5E"/>
    <w:rsid w:val="009613BB"/>
    <w:rsid w:val="00973A43"/>
    <w:rsid w:val="009741E7"/>
    <w:rsid w:val="009A2F37"/>
    <w:rsid w:val="009A6E4A"/>
    <w:rsid w:val="009B4C88"/>
    <w:rsid w:val="009E1A02"/>
    <w:rsid w:val="009E5427"/>
    <w:rsid w:val="009F5562"/>
    <w:rsid w:val="009F74F7"/>
    <w:rsid w:val="00A243C7"/>
    <w:rsid w:val="00A47AB3"/>
    <w:rsid w:val="00A63058"/>
    <w:rsid w:val="00A76DF2"/>
    <w:rsid w:val="00A83724"/>
    <w:rsid w:val="00A858ED"/>
    <w:rsid w:val="00AA30A4"/>
    <w:rsid w:val="00AD724B"/>
    <w:rsid w:val="00AE584D"/>
    <w:rsid w:val="00B048C1"/>
    <w:rsid w:val="00B305BF"/>
    <w:rsid w:val="00B320C2"/>
    <w:rsid w:val="00B329CD"/>
    <w:rsid w:val="00B41868"/>
    <w:rsid w:val="00B720DE"/>
    <w:rsid w:val="00B73898"/>
    <w:rsid w:val="00B750D3"/>
    <w:rsid w:val="00B929F3"/>
    <w:rsid w:val="00B97098"/>
    <w:rsid w:val="00BA33B2"/>
    <w:rsid w:val="00BB5560"/>
    <w:rsid w:val="00C179BE"/>
    <w:rsid w:val="00C2316E"/>
    <w:rsid w:val="00C30438"/>
    <w:rsid w:val="00C33B35"/>
    <w:rsid w:val="00C35047"/>
    <w:rsid w:val="00C363C6"/>
    <w:rsid w:val="00C40459"/>
    <w:rsid w:val="00C45261"/>
    <w:rsid w:val="00C4625A"/>
    <w:rsid w:val="00C64713"/>
    <w:rsid w:val="00C80FF8"/>
    <w:rsid w:val="00C86812"/>
    <w:rsid w:val="00C967CE"/>
    <w:rsid w:val="00CA034A"/>
    <w:rsid w:val="00CA7B1C"/>
    <w:rsid w:val="00CC0537"/>
    <w:rsid w:val="00CD5604"/>
    <w:rsid w:val="00CE71FA"/>
    <w:rsid w:val="00CF07F1"/>
    <w:rsid w:val="00D00941"/>
    <w:rsid w:val="00D037B3"/>
    <w:rsid w:val="00D05078"/>
    <w:rsid w:val="00D075BA"/>
    <w:rsid w:val="00D16037"/>
    <w:rsid w:val="00D20B2C"/>
    <w:rsid w:val="00D22675"/>
    <w:rsid w:val="00D26D3A"/>
    <w:rsid w:val="00D4017F"/>
    <w:rsid w:val="00D41579"/>
    <w:rsid w:val="00D540A5"/>
    <w:rsid w:val="00D8356F"/>
    <w:rsid w:val="00D865C8"/>
    <w:rsid w:val="00D87F68"/>
    <w:rsid w:val="00D97D69"/>
    <w:rsid w:val="00DC441D"/>
    <w:rsid w:val="00E04CD1"/>
    <w:rsid w:val="00E06E82"/>
    <w:rsid w:val="00E14BE1"/>
    <w:rsid w:val="00E57A2C"/>
    <w:rsid w:val="00E614D1"/>
    <w:rsid w:val="00E62077"/>
    <w:rsid w:val="00E82F16"/>
    <w:rsid w:val="00E84A31"/>
    <w:rsid w:val="00E85417"/>
    <w:rsid w:val="00EA3613"/>
    <w:rsid w:val="00EA5A51"/>
    <w:rsid w:val="00EA79C4"/>
    <w:rsid w:val="00EB1083"/>
    <w:rsid w:val="00EF70CF"/>
    <w:rsid w:val="00F152A9"/>
    <w:rsid w:val="00F21255"/>
    <w:rsid w:val="00F31FE3"/>
    <w:rsid w:val="00F40A88"/>
    <w:rsid w:val="00F526BD"/>
    <w:rsid w:val="00F619BA"/>
    <w:rsid w:val="00F65A12"/>
    <w:rsid w:val="00F774C5"/>
    <w:rsid w:val="00FA5A45"/>
    <w:rsid w:val="00FC5284"/>
    <w:rsid w:val="00FD0929"/>
    <w:rsid w:val="00FD7DA5"/>
    <w:rsid w:val="1DB19F73"/>
    <w:rsid w:val="257372AC"/>
    <w:rsid w:val="32A21D6A"/>
    <w:rsid w:val="34292FA1"/>
    <w:rsid w:val="370FDE5F"/>
    <w:rsid w:val="3A1ED8FE"/>
    <w:rsid w:val="43BAA34D"/>
    <w:rsid w:val="44C37113"/>
    <w:rsid w:val="4700555A"/>
    <w:rsid w:val="4C0B9A32"/>
    <w:rsid w:val="5B30784D"/>
    <w:rsid w:val="5E3EA2C5"/>
    <w:rsid w:val="5EC85A4E"/>
    <w:rsid w:val="71F84C5B"/>
    <w:rsid w:val="74C0573B"/>
    <w:rsid w:val="7B3E6771"/>
    <w:rsid w:val="7BAF9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B2615D0"/>
  <w14:defaultImageDpi w14:val="32767"/>
  <w15:chartTrackingRefBased/>
  <w15:docId w15:val="{72F8F21D-6638-4830-91D0-ABAF4747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438"/>
    <w:rPr>
      <w:rFonts w:ascii="Omnes" w:hAnsi="Omnes"/>
    </w:rPr>
  </w:style>
  <w:style w:type="paragraph" w:styleId="Heading1">
    <w:name w:val="heading 1"/>
    <w:basedOn w:val="Normal"/>
    <w:next w:val="Normal"/>
    <w:link w:val="Heading1Char"/>
    <w:uiPriority w:val="9"/>
    <w:qFormat/>
    <w:rsid w:val="00FA5A45"/>
    <w:pPr>
      <w:keepNext/>
      <w:keepLines/>
      <w:spacing w:before="240"/>
      <w:outlineLvl w:val="0"/>
    </w:pPr>
    <w:rPr>
      <w:rFonts w:eastAsiaTheme="majorEastAsia" w:cstheme="majorBidi"/>
      <w:b/>
      <w:color w:val="033C6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C7C"/>
    <w:pPr>
      <w:tabs>
        <w:tab w:val="center" w:pos="4680"/>
        <w:tab w:val="right" w:pos="9360"/>
      </w:tabs>
    </w:pPr>
  </w:style>
  <w:style w:type="character" w:customStyle="1" w:styleId="HeaderChar">
    <w:name w:val="Header Char"/>
    <w:basedOn w:val="DefaultParagraphFont"/>
    <w:link w:val="Header"/>
    <w:uiPriority w:val="99"/>
    <w:rsid w:val="00672C7C"/>
  </w:style>
  <w:style w:type="paragraph" w:styleId="Footer">
    <w:name w:val="footer"/>
    <w:basedOn w:val="Normal"/>
    <w:link w:val="FooterChar"/>
    <w:uiPriority w:val="99"/>
    <w:unhideWhenUsed/>
    <w:rsid w:val="00672C7C"/>
    <w:pPr>
      <w:tabs>
        <w:tab w:val="center" w:pos="4680"/>
        <w:tab w:val="right" w:pos="9360"/>
      </w:tabs>
    </w:pPr>
  </w:style>
  <w:style w:type="character" w:customStyle="1" w:styleId="FooterChar">
    <w:name w:val="Footer Char"/>
    <w:basedOn w:val="DefaultParagraphFont"/>
    <w:link w:val="Footer"/>
    <w:uiPriority w:val="99"/>
    <w:rsid w:val="00672C7C"/>
  </w:style>
  <w:style w:type="paragraph" w:styleId="ListParagraph">
    <w:name w:val="List Paragraph"/>
    <w:basedOn w:val="Normal"/>
    <w:uiPriority w:val="34"/>
    <w:qFormat/>
    <w:rsid w:val="005530D1"/>
    <w:pPr>
      <w:ind w:left="720"/>
      <w:contextualSpacing/>
    </w:pPr>
  </w:style>
  <w:style w:type="character" w:styleId="CommentReference">
    <w:name w:val="annotation reference"/>
    <w:basedOn w:val="DefaultParagraphFont"/>
    <w:uiPriority w:val="99"/>
    <w:semiHidden/>
    <w:unhideWhenUsed/>
    <w:rsid w:val="004D34D4"/>
    <w:rPr>
      <w:sz w:val="16"/>
      <w:szCs w:val="16"/>
    </w:rPr>
  </w:style>
  <w:style w:type="paragraph" w:styleId="CommentText">
    <w:name w:val="annotation text"/>
    <w:basedOn w:val="Normal"/>
    <w:link w:val="CommentTextChar"/>
    <w:uiPriority w:val="99"/>
    <w:semiHidden/>
    <w:unhideWhenUsed/>
    <w:rsid w:val="004D34D4"/>
    <w:rPr>
      <w:sz w:val="20"/>
      <w:szCs w:val="20"/>
    </w:rPr>
  </w:style>
  <w:style w:type="character" w:customStyle="1" w:styleId="CommentTextChar">
    <w:name w:val="Comment Text Char"/>
    <w:basedOn w:val="DefaultParagraphFont"/>
    <w:link w:val="CommentText"/>
    <w:uiPriority w:val="99"/>
    <w:semiHidden/>
    <w:rsid w:val="004D34D4"/>
    <w:rPr>
      <w:sz w:val="20"/>
      <w:szCs w:val="20"/>
    </w:rPr>
  </w:style>
  <w:style w:type="paragraph" w:styleId="CommentSubject">
    <w:name w:val="annotation subject"/>
    <w:basedOn w:val="CommentText"/>
    <w:next w:val="CommentText"/>
    <w:link w:val="CommentSubjectChar"/>
    <w:uiPriority w:val="99"/>
    <w:semiHidden/>
    <w:unhideWhenUsed/>
    <w:rsid w:val="004D34D4"/>
    <w:rPr>
      <w:b/>
      <w:bCs/>
    </w:rPr>
  </w:style>
  <w:style w:type="character" w:customStyle="1" w:styleId="CommentSubjectChar">
    <w:name w:val="Comment Subject Char"/>
    <w:basedOn w:val="CommentTextChar"/>
    <w:link w:val="CommentSubject"/>
    <w:uiPriority w:val="99"/>
    <w:semiHidden/>
    <w:rsid w:val="004D34D4"/>
    <w:rPr>
      <w:b/>
      <w:bCs/>
      <w:sz w:val="20"/>
      <w:szCs w:val="20"/>
    </w:rPr>
  </w:style>
  <w:style w:type="paragraph" w:styleId="BalloonText">
    <w:name w:val="Balloon Text"/>
    <w:basedOn w:val="Normal"/>
    <w:link w:val="BalloonTextChar"/>
    <w:uiPriority w:val="99"/>
    <w:semiHidden/>
    <w:unhideWhenUsed/>
    <w:rsid w:val="004D34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4D4"/>
    <w:rPr>
      <w:rFonts w:ascii="Segoe UI" w:hAnsi="Segoe UI" w:cs="Segoe UI"/>
      <w:sz w:val="18"/>
      <w:szCs w:val="18"/>
    </w:rPr>
  </w:style>
  <w:style w:type="character" w:styleId="Hyperlink">
    <w:name w:val="Hyperlink"/>
    <w:basedOn w:val="DefaultParagraphFont"/>
    <w:uiPriority w:val="99"/>
    <w:unhideWhenUsed/>
    <w:rsid w:val="00AA30A4"/>
    <w:rPr>
      <w:color w:val="0000FF"/>
      <w:u w:val="single"/>
    </w:rPr>
  </w:style>
  <w:style w:type="paragraph" w:styleId="NormalWeb">
    <w:name w:val="Normal (Web)"/>
    <w:basedOn w:val="Normal"/>
    <w:uiPriority w:val="99"/>
    <w:unhideWhenUsed/>
    <w:rsid w:val="00AA30A4"/>
    <w:pPr>
      <w:spacing w:before="100" w:beforeAutospacing="1" w:after="100" w:afterAutospacing="1"/>
    </w:pPr>
    <w:rPr>
      <w:rFonts w:ascii="Times New Roman" w:hAnsi="Times New Roman" w:cs="Times New Roman"/>
    </w:rPr>
  </w:style>
  <w:style w:type="character" w:customStyle="1" w:styleId="UnresolvedMention1">
    <w:name w:val="Unresolved Mention1"/>
    <w:basedOn w:val="DefaultParagraphFont"/>
    <w:uiPriority w:val="99"/>
    <w:semiHidden/>
    <w:unhideWhenUsed/>
    <w:rsid w:val="000B67E7"/>
    <w:rPr>
      <w:color w:val="605E5C"/>
      <w:shd w:val="clear" w:color="auto" w:fill="E1DFDD"/>
    </w:rPr>
  </w:style>
  <w:style w:type="character" w:customStyle="1" w:styleId="Heading1Char">
    <w:name w:val="Heading 1 Char"/>
    <w:basedOn w:val="DefaultParagraphFont"/>
    <w:link w:val="Heading1"/>
    <w:uiPriority w:val="9"/>
    <w:rsid w:val="00FA5A45"/>
    <w:rPr>
      <w:rFonts w:ascii="Omnes" w:eastAsiaTheme="majorEastAsia" w:hAnsi="Omnes" w:cstheme="majorBidi"/>
      <w:b/>
      <w:color w:val="033C61" w:themeColor="accent1" w:themeShade="BF"/>
      <w:sz w:val="32"/>
      <w:szCs w:val="32"/>
    </w:rPr>
  </w:style>
  <w:style w:type="table" w:styleId="TableGrid">
    <w:name w:val="Table Grid"/>
    <w:basedOn w:val="TableNormal"/>
    <w:uiPriority w:val="39"/>
    <w:rsid w:val="00E14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F619BA"/>
    <w:tblPr>
      <w:tblStyleRowBandSize w:val="1"/>
      <w:tblStyleColBandSize w:val="1"/>
      <w:tblBorders>
        <w:top w:val="single" w:sz="4" w:space="0" w:color="045182" w:themeColor="accent1"/>
        <w:left w:val="single" w:sz="4" w:space="0" w:color="045182" w:themeColor="accent1"/>
        <w:bottom w:val="single" w:sz="4" w:space="0" w:color="045182" w:themeColor="accent1"/>
        <w:right w:val="single" w:sz="4" w:space="0" w:color="045182" w:themeColor="accent1"/>
      </w:tblBorders>
    </w:tblPr>
    <w:tblStylePr w:type="firstRow">
      <w:rPr>
        <w:b/>
        <w:bCs/>
        <w:color w:val="FFFFFF" w:themeColor="background1"/>
      </w:rPr>
      <w:tblPr/>
      <w:tcPr>
        <w:shd w:val="clear" w:color="auto" w:fill="045182" w:themeFill="accent1"/>
      </w:tcPr>
    </w:tblStylePr>
    <w:tblStylePr w:type="lastRow">
      <w:rPr>
        <w:b/>
        <w:bCs/>
      </w:rPr>
      <w:tblPr/>
      <w:tcPr>
        <w:tcBorders>
          <w:top w:val="double" w:sz="4" w:space="0" w:color="04518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5182" w:themeColor="accent1"/>
          <w:right w:val="single" w:sz="4" w:space="0" w:color="045182" w:themeColor="accent1"/>
        </w:tcBorders>
      </w:tcPr>
    </w:tblStylePr>
    <w:tblStylePr w:type="band1Horz">
      <w:tblPr/>
      <w:tcPr>
        <w:tcBorders>
          <w:top w:val="single" w:sz="4" w:space="0" w:color="045182" w:themeColor="accent1"/>
          <w:bottom w:val="single" w:sz="4" w:space="0" w:color="04518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5182" w:themeColor="accent1"/>
          <w:left w:val="nil"/>
        </w:tcBorders>
      </w:tcPr>
    </w:tblStylePr>
    <w:tblStylePr w:type="swCell">
      <w:tblPr/>
      <w:tcPr>
        <w:tcBorders>
          <w:top w:val="double" w:sz="4" w:space="0" w:color="045182" w:themeColor="accent1"/>
          <w:right w:val="nil"/>
        </w:tcBorders>
      </w:tcPr>
    </w:tblStylePr>
  </w:style>
  <w:style w:type="table" w:styleId="GridTable4-Accent1">
    <w:name w:val="Grid Table 4 Accent 1"/>
    <w:basedOn w:val="TableNormal"/>
    <w:uiPriority w:val="49"/>
    <w:rsid w:val="003458AE"/>
    <w:tblPr>
      <w:tblStyleRowBandSize w:val="1"/>
      <w:tblStyleColBandSize w:val="1"/>
      <w:tblBorders>
        <w:top w:val="single" w:sz="4" w:space="0" w:color="24A5F8" w:themeColor="accent1" w:themeTint="99"/>
        <w:left w:val="single" w:sz="4" w:space="0" w:color="24A5F8" w:themeColor="accent1" w:themeTint="99"/>
        <w:bottom w:val="single" w:sz="4" w:space="0" w:color="24A5F8" w:themeColor="accent1" w:themeTint="99"/>
        <w:right w:val="single" w:sz="4" w:space="0" w:color="24A5F8" w:themeColor="accent1" w:themeTint="99"/>
        <w:insideH w:val="single" w:sz="4" w:space="0" w:color="24A5F8" w:themeColor="accent1" w:themeTint="99"/>
        <w:insideV w:val="single" w:sz="4" w:space="0" w:color="24A5F8" w:themeColor="accent1" w:themeTint="99"/>
      </w:tblBorders>
    </w:tblPr>
    <w:tblStylePr w:type="firstRow">
      <w:rPr>
        <w:b/>
        <w:bCs/>
        <w:color w:val="FFFFFF" w:themeColor="background1"/>
      </w:rPr>
      <w:tblPr/>
      <w:tcPr>
        <w:tcBorders>
          <w:top w:val="single" w:sz="4" w:space="0" w:color="045182" w:themeColor="accent1"/>
          <w:left w:val="single" w:sz="4" w:space="0" w:color="045182" w:themeColor="accent1"/>
          <w:bottom w:val="single" w:sz="4" w:space="0" w:color="045182" w:themeColor="accent1"/>
          <w:right w:val="single" w:sz="4" w:space="0" w:color="045182" w:themeColor="accent1"/>
          <w:insideH w:val="nil"/>
          <w:insideV w:val="nil"/>
        </w:tcBorders>
        <w:shd w:val="clear" w:color="auto" w:fill="045182" w:themeFill="accent1"/>
      </w:tcPr>
    </w:tblStylePr>
    <w:tblStylePr w:type="lastRow">
      <w:rPr>
        <w:b/>
        <w:bCs/>
      </w:rPr>
      <w:tblPr/>
      <w:tcPr>
        <w:tcBorders>
          <w:top w:val="double" w:sz="4" w:space="0" w:color="045182" w:themeColor="accent1"/>
        </w:tcBorders>
      </w:tcPr>
    </w:tblStylePr>
    <w:tblStylePr w:type="firstCol">
      <w:rPr>
        <w:b/>
        <w:bCs/>
      </w:rPr>
    </w:tblStylePr>
    <w:tblStylePr w:type="lastCol">
      <w:rPr>
        <w:b/>
        <w:bCs/>
      </w:rPr>
    </w:tblStylePr>
    <w:tblStylePr w:type="band1Vert">
      <w:tblPr/>
      <w:tcPr>
        <w:shd w:val="clear" w:color="auto" w:fill="B5E0FC" w:themeFill="accent1" w:themeFillTint="33"/>
      </w:tcPr>
    </w:tblStylePr>
    <w:tblStylePr w:type="band1Horz">
      <w:tblPr/>
      <w:tcPr>
        <w:shd w:val="clear" w:color="auto" w:fill="B5E0FC" w:themeFill="accent1" w:themeFillTint="33"/>
      </w:tcPr>
    </w:tblStylePr>
  </w:style>
  <w:style w:type="paragraph" w:styleId="Title">
    <w:name w:val="Title"/>
    <w:basedOn w:val="Normal"/>
    <w:next w:val="Normal"/>
    <w:link w:val="TitleChar"/>
    <w:uiPriority w:val="10"/>
    <w:qFormat/>
    <w:rsid w:val="00F40A8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0A88"/>
    <w:rPr>
      <w:rFonts w:asciiTheme="majorHAnsi" w:eastAsiaTheme="majorEastAsia" w:hAnsiTheme="majorHAnsi" w:cstheme="majorBidi"/>
      <w:spacing w:val="-10"/>
      <w:kern w:val="28"/>
      <w:sz w:val="56"/>
      <w:szCs w:val="56"/>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10611">
      <w:bodyDiv w:val="1"/>
      <w:marLeft w:val="0"/>
      <w:marRight w:val="0"/>
      <w:marTop w:val="0"/>
      <w:marBottom w:val="0"/>
      <w:divBdr>
        <w:top w:val="none" w:sz="0" w:space="0" w:color="auto"/>
        <w:left w:val="none" w:sz="0" w:space="0" w:color="auto"/>
        <w:bottom w:val="none" w:sz="0" w:space="0" w:color="auto"/>
        <w:right w:val="none" w:sz="0" w:space="0" w:color="auto"/>
      </w:divBdr>
    </w:div>
    <w:div w:id="84439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c0c7361db19c4a01"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707230a670bd4781"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hioKAN">
      <a:dk1>
        <a:sysClr val="windowText" lastClr="000000"/>
      </a:dk1>
      <a:lt1>
        <a:sysClr val="window" lastClr="FFFFFF"/>
      </a:lt1>
      <a:dk2>
        <a:srgbClr val="5A7583"/>
      </a:dk2>
      <a:lt2>
        <a:srgbClr val="8EAAB8"/>
      </a:lt2>
      <a:accent1>
        <a:srgbClr val="045182"/>
      </a:accent1>
      <a:accent2>
        <a:srgbClr val="00A6E8"/>
      </a:accent2>
      <a:accent3>
        <a:srgbClr val="8CC63F"/>
      </a:accent3>
      <a:accent4>
        <a:srgbClr val="FEC039"/>
      </a:accent4>
      <a:accent5>
        <a:srgbClr val="71CFEC"/>
      </a:accent5>
      <a:accent6>
        <a:srgbClr val="023656"/>
      </a:accent6>
      <a:hlink>
        <a:srgbClr val="0068B3"/>
      </a:hlink>
      <a:folHlink>
        <a:srgbClr val="8EAAB8"/>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510E030C4D8F44B7B4F1DEBE208516" ma:contentTypeVersion="6" ma:contentTypeDescription="Create a new document." ma:contentTypeScope="" ma:versionID="1ac18255c5462f3951fdf6bce481510f">
  <xsd:schema xmlns:xsd="http://www.w3.org/2001/XMLSchema" xmlns:xs="http://www.w3.org/2001/XMLSchema" xmlns:p="http://schemas.microsoft.com/office/2006/metadata/properties" xmlns:ns2="f862f4f5-c9ef-4b0a-9536-d7ce90d98685" xmlns:ns3="4fcd8514-55ce-44fc-a59f-7da1afd6c950" targetNamespace="http://schemas.microsoft.com/office/2006/metadata/properties" ma:root="true" ma:fieldsID="ddaf0b7576ca92e82ce9d60d84fe0eee" ns2:_="" ns3:_="">
    <xsd:import namespace="f862f4f5-c9ef-4b0a-9536-d7ce90d98685"/>
    <xsd:import namespace="4fcd8514-55ce-44fc-a59f-7da1afd6c9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2f4f5-c9ef-4b0a-9536-d7ce90d986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cd8514-55ce-44fc-a59f-7da1afd6c95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fcd8514-55ce-44fc-a59f-7da1afd6c950">
      <UserInfo>
        <DisplayName>Lane, Shaun</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B1936-3488-4878-AC99-E45E0D2C457B}">
  <ds:schemaRefs>
    <ds:schemaRef ds:uri="http://schemas.microsoft.com/sharepoint/v3/contenttype/forms"/>
  </ds:schemaRefs>
</ds:datastoreItem>
</file>

<file path=customXml/itemProps2.xml><?xml version="1.0" encoding="utf-8"?>
<ds:datastoreItem xmlns:ds="http://schemas.openxmlformats.org/officeDocument/2006/customXml" ds:itemID="{2E643F72-652F-4353-B926-3C57E9E61989}"/>
</file>

<file path=customXml/itemProps3.xml><?xml version="1.0" encoding="utf-8"?>
<ds:datastoreItem xmlns:ds="http://schemas.openxmlformats.org/officeDocument/2006/customXml" ds:itemID="{86BE1010-4BB7-43E4-A15B-1069C9BF5F15}">
  <ds:schemaRefs>
    <ds:schemaRef ds:uri="42dc5bc0-df53-4b57-a8f7-de59c037db25"/>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530822fb-696f-488c-8b5a-f54b3bf71ebc"/>
    <ds:schemaRef ds:uri="http://purl.org/dc/dcmitype/"/>
    <ds:schemaRef ds:uri="http://purl.org/dc/terms/"/>
  </ds:schemaRefs>
</ds:datastoreItem>
</file>

<file path=customXml/itemProps4.xml><?xml version="1.0" encoding="utf-8"?>
<ds:datastoreItem xmlns:ds="http://schemas.openxmlformats.org/officeDocument/2006/customXml" ds:itemID="{AEB39EB7-6E1A-446A-BE42-FC54DBBD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McAllester</dc:creator>
  <cp:keywords/>
  <dc:description/>
  <cp:lastModifiedBy>Perkowski, Stephanie</cp:lastModifiedBy>
  <cp:revision>3</cp:revision>
  <dcterms:created xsi:type="dcterms:W3CDTF">2021-05-17T03:15:00Z</dcterms:created>
  <dcterms:modified xsi:type="dcterms:W3CDTF">2021-05-17T03:16:00Z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0x0101008A510E030C4D8F44B7B4F1DEBE208516</vt:lpwstr>
  </property>
</Properties>
</file>